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2B14" w14:textId="3116B55A" w:rsidR="00726195" w:rsidRPr="00E8715C" w:rsidRDefault="00646F92" w:rsidP="00EC0024">
      <w:pPr>
        <w:pStyle w:val="Title"/>
        <w:rPr>
          <w:rFonts w:asciiTheme="minorHAnsi" w:hAnsiTheme="minorHAnsi" w:cstheme="minorHAnsi"/>
          <w:b/>
          <w:sz w:val="22"/>
          <w:szCs w:val="22"/>
        </w:rPr>
      </w:pPr>
      <w:r w:rsidRPr="00E8715C">
        <w:rPr>
          <w:rFonts w:asciiTheme="minorHAnsi" w:hAnsiTheme="minorHAnsi" w:cstheme="minorHAnsi"/>
          <w:b/>
          <w:sz w:val="22"/>
          <w:szCs w:val="22"/>
        </w:rPr>
        <w:t xml:space="preserve">Draft </w:t>
      </w:r>
      <w:r w:rsidR="007338CF" w:rsidRPr="00E8715C">
        <w:rPr>
          <w:rFonts w:asciiTheme="minorHAnsi" w:hAnsiTheme="minorHAnsi" w:cstheme="minorHAnsi"/>
          <w:b/>
          <w:sz w:val="22"/>
          <w:szCs w:val="22"/>
        </w:rPr>
        <w:t>Upper</w:t>
      </w:r>
      <w:r w:rsidR="00E82D87" w:rsidRPr="00E8715C">
        <w:rPr>
          <w:rFonts w:asciiTheme="minorHAnsi" w:hAnsiTheme="minorHAnsi" w:cstheme="minorHAnsi"/>
          <w:b/>
          <w:sz w:val="22"/>
          <w:szCs w:val="22"/>
        </w:rPr>
        <w:t>-s</w:t>
      </w:r>
      <w:r w:rsidR="007338CF" w:rsidRPr="00E8715C">
        <w:rPr>
          <w:rFonts w:asciiTheme="minorHAnsi" w:hAnsiTheme="minorHAnsi" w:cstheme="minorHAnsi"/>
          <w:b/>
          <w:sz w:val="22"/>
          <w:szCs w:val="22"/>
        </w:rPr>
        <w:t>lope Dogfish Strategy Research and Monitoring Plan</w:t>
      </w:r>
      <w:r w:rsidR="007277F0" w:rsidRPr="00E8715C">
        <w:rPr>
          <w:rFonts w:asciiTheme="minorHAnsi" w:hAnsiTheme="minorHAnsi" w:cstheme="minorHAnsi"/>
          <w:b/>
          <w:sz w:val="22"/>
          <w:szCs w:val="22"/>
        </w:rPr>
        <w:t xml:space="preserve"> 2020-2025</w:t>
      </w:r>
    </w:p>
    <w:p w14:paraId="13505F3B" w14:textId="77777777" w:rsidR="007338CF" w:rsidRPr="00E82D87" w:rsidRDefault="007338CF" w:rsidP="00EC0024">
      <w:pPr>
        <w:rPr>
          <w:rFonts w:cstheme="minorHAnsi"/>
        </w:rPr>
      </w:pPr>
    </w:p>
    <w:p w14:paraId="0D62206C" w14:textId="1AE75084" w:rsidR="00AA185B" w:rsidRPr="00E82D87" w:rsidRDefault="006E1755" w:rsidP="00EC0024">
      <w:pPr>
        <w:rPr>
          <w:rFonts w:cstheme="minorHAnsi"/>
        </w:rPr>
      </w:pPr>
      <w:r w:rsidRPr="00E82D87">
        <w:rPr>
          <w:rFonts w:cstheme="minorHAnsi"/>
        </w:rPr>
        <w:t xml:space="preserve">The </w:t>
      </w:r>
      <w:r w:rsidR="003B77D6" w:rsidRPr="00E82D87">
        <w:rPr>
          <w:rFonts w:cstheme="minorHAnsi"/>
        </w:rPr>
        <w:t xml:space="preserve">purpose of the </w:t>
      </w:r>
      <w:r w:rsidRPr="00E82D87">
        <w:rPr>
          <w:rFonts w:cstheme="minorHAnsi"/>
        </w:rPr>
        <w:t>Upper</w:t>
      </w:r>
      <w:r w:rsidR="00E8715C">
        <w:rPr>
          <w:rFonts w:cstheme="minorHAnsi"/>
        </w:rPr>
        <w:t>-s</w:t>
      </w:r>
      <w:r w:rsidRPr="00E82D87">
        <w:rPr>
          <w:rFonts w:cstheme="minorHAnsi"/>
        </w:rPr>
        <w:t xml:space="preserve">lope Dogfish Research and Monitoring Plan (the </w:t>
      </w:r>
      <w:r w:rsidR="0074165E" w:rsidRPr="00E82D87">
        <w:rPr>
          <w:rFonts w:cstheme="minorHAnsi"/>
        </w:rPr>
        <w:t>P</w:t>
      </w:r>
      <w:r w:rsidRPr="00E82D87">
        <w:rPr>
          <w:rFonts w:cstheme="minorHAnsi"/>
        </w:rPr>
        <w:t>lan)</w:t>
      </w:r>
      <w:r w:rsidR="003B77D6" w:rsidRPr="00E82D87">
        <w:rPr>
          <w:rFonts w:cstheme="minorHAnsi"/>
        </w:rPr>
        <w:t xml:space="preserve"> is to outline the priorities for data collection </w:t>
      </w:r>
      <w:r w:rsidR="007A2F0A" w:rsidRPr="00E82D87">
        <w:rPr>
          <w:rFonts w:cstheme="minorHAnsi"/>
        </w:rPr>
        <w:t xml:space="preserve">(Table 1) </w:t>
      </w:r>
      <w:r w:rsidR="003B77D6" w:rsidRPr="00E82D87">
        <w:rPr>
          <w:rFonts w:cstheme="minorHAnsi"/>
        </w:rPr>
        <w:t xml:space="preserve">and how that information will be gathered in order to assess the performance of the Upper-Slope Dogfish Management Strategy (the Strategy) </w:t>
      </w:r>
      <w:r w:rsidR="00577C56" w:rsidRPr="00E82D87">
        <w:rPr>
          <w:rFonts w:cstheme="minorHAnsi"/>
        </w:rPr>
        <w:t>i</w:t>
      </w:r>
      <w:r w:rsidR="003B77D6" w:rsidRPr="00E82D87">
        <w:rPr>
          <w:rFonts w:cstheme="minorHAnsi"/>
        </w:rPr>
        <w:t>n meeting its primary objective -</w:t>
      </w:r>
      <w:r w:rsidR="00577C56" w:rsidRPr="00E82D87">
        <w:rPr>
          <w:rFonts w:cstheme="minorHAnsi"/>
        </w:rPr>
        <w:t xml:space="preserve"> to promote the rebuilding of </w:t>
      </w:r>
      <w:r w:rsidR="003B77D6" w:rsidRPr="00E82D87">
        <w:rPr>
          <w:rFonts w:cstheme="minorHAnsi"/>
        </w:rPr>
        <w:t xml:space="preserve">Harrisson’s </w:t>
      </w:r>
      <w:r w:rsidR="00F279F7" w:rsidRPr="00E82D87">
        <w:rPr>
          <w:rFonts w:cstheme="minorHAnsi"/>
        </w:rPr>
        <w:t xml:space="preserve">dogfish </w:t>
      </w:r>
      <w:r w:rsidR="003B77D6" w:rsidRPr="00E82D87">
        <w:rPr>
          <w:rFonts w:cstheme="minorHAnsi"/>
        </w:rPr>
        <w:t>(</w:t>
      </w:r>
      <w:r w:rsidR="003B77D6" w:rsidRPr="00E82D87">
        <w:rPr>
          <w:rFonts w:cstheme="minorHAnsi"/>
          <w:i/>
        </w:rPr>
        <w:t>Centrophorus harrissoni</w:t>
      </w:r>
      <w:r w:rsidR="003B77D6" w:rsidRPr="00E82D87">
        <w:rPr>
          <w:rFonts w:cstheme="minorHAnsi"/>
        </w:rPr>
        <w:t xml:space="preserve">) and </w:t>
      </w:r>
      <w:r w:rsidR="00F279F7" w:rsidRPr="00E82D87">
        <w:rPr>
          <w:rFonts w:cstheme="minorHAnsi"/>
        </w:rPr>
        <w:t xml:space="preserve">southern dogfish </w:t>
      </w:r>
      <w:r w:rsidR="003B77D6" w:rsidRPr="00E82D87">
        <w:rPr>
          <w:rFonts w:cstheme="minorHAnsi"/>
        </w:rPr>
        <w:t>(</w:t>
      </w:r>
      <w:r w:rsidR="003B77D6" w:rsidRPr="00E82D87">
        <w:rPr>
          <w:rFonts w:cstheme="minorHAnsi"/>
          <w:i/>
        </w:rPr>
        <w:t>C. zeehaani</w:t>
      </w:r>
      <w:r w:rsidR="003B77D6" w:rsidRPr="00E82D87">
        <w:rPr>
          <w:rFonts w:cstheme="minorHAnsi"/>
        </w:rPr>
        <w:t xml:space="preserve">).  The Plan also provides a summary of research projects underway </w:t>
      </w:r>
      <w:r w:rsidR="007A2F0A" w:rsidRPr="00E82D87">
        <w:rPr>
          <w:rFonts w:cstheme="minorHAnsi"/>
        </w:rPr>
        <w:t xml:space="preserve">(Table 2, none currently funded), </w:t>
      </w:r>
      <w:r w:rsidR="003B77D6" w:rsidRPr="00E82D87">
        <w:rPr>
          <w:rFonts w:cstheme="minorHAnsi"/>
        </w:rPr>
        <w:t>and a list of recently completed research projects</w:t>
      </w:r>
      <w:r w:rsidR="007A2F0A" w:rsidRPr="00E82D87">
        <w:rPr>
          <w:rFonts w:cstheme="minorHAnsi"/>
        </w:rPr>
        <w:t xml:space="preserve"> (Table 3).</w:t>
      </w:r>
      <w:r w:rsidR="003B77D6" w:rsidRPr="00E82D87">
        <w:rPr>
          <w:rFonts w:cstheme="minorHAnsi"/>
        </w:rPr>
        <w:t xml:space="preserve"> </w:t>
      </w:r>
    </w:p>
    <w:p w14:paraId="692A5606" w14:textId="7951D223" w:rsidR="007A2F0A" w:rsidRPr="00E82D87" w:rsidRDefault="001764B4" w:rsidP="00F67942">
      <w:pPr>
        <w:spacing w:before="220" w:line="280" w:lineRule="exact"/>
        <w:rPr>
          <w:rFonts w:cstheme="minorHAnsi"/>
        </w:rPr>
      </w:pPr>
      <w:r w:rsidRPr="00E82D87">
        <w:rPr>
          <w:rFonts w:cstheme="minorHAnsi"/>
        </w:rPr>
        <w:t xml:space="preserve">The Plan has been directly informed by the outcomes of the </w:t>
      </w:r>
      <w:r w:rsidR="007A2F0A" w:rsidRPr="00E82D87">
        <w:rPr>
          <w:rFonts w:cstheme="minorHAnsi"/>
        </w:rPr>
        <w:t>project</w:t>
      </w:r>
      <w:r w:rsidRPr="00E82D87">
        <w:rPr>
          <w:rFonts w:cstheme="minorHAnsi"/>
        </w:rPr>
        <w:t xml:space="preserve"> completed by Williams </w:t>
      </w:r>
      <w:r w:rsidRPr="006E1C84">
        <w:rPr>
          <w:rFonts w:cstheme="minorHAnsi"/>
        </w:rPr>
        <w:t>et al</w:t>
      </w:r>
      <w:r w:rsidRPr="00E82D87">
        <w:rPr>
          <w:rFonts w:cstheme="minorHAnsi"/>
          <w:i/>
        </w:rPr>
        <w:t>.</w:t>
      </w:r>
      <w:r w:rsidRPr="00E82D87">
        <w:rPr>
          <w:rFonts w:cstheme="minorHAnsi"/>
        </w:rPr>
        <w:t xml:space="preserve"> (2018), which built on earlier advice from the Southern and Eastern Scalefish and Shark Fishery (SESSF) Resource Assessment Group (RAG)</w:t>
      </w:r>
      <w:r w:rsidR="007A2F0A" w:rsidRPr="00E82D87">
        <w:rPr>
          <w:rFonts w:cstheme="minorHAnsi"/>
        </w:rPr>
        <w:t>. The</w:t>
      </w:r>
      <w:r w:rsidR="00A7727E" w:rsidRPr="00E82D87">
        <w:rPr>
          <w:rFonts w:cstheme="minorHAnsi"/>
        </w:rPr>
        <w:t xml:space="preserve"> outcome of these</w:t>
      </w:r>
      <w:r w:rsidRPr="00E82D87">
        <w:rPr>
          <w:rFonts w:cstheme="minorHAnsi"/>
        </w:rPr>
        <w:t xml:space="preserve"> processes </w:t>
      </w:r>
      <w:r w:rsidR="00A7727E" w:rsidRPr="00E82D87">
        <w:rPr>
          <w:rFonts w:cstheme="minorHAnsi"/>
        </w:rPr>
        <w:t xml:space="preserve">identified </w:t>
      </w:r>
      <w:r w:rsidR="006875F2" w:rsidRPr="00E82D87">
        <w:rPr>
          <w:rFonts w:cstheme="minorHAnsi"/>
        </w:rPr>
        <w:t xml:space="preserve">an increase in the </w:t>
      </w:r>
      <w:r w:rsidRPr="00E82D87">
        <w:rPr>
          <w:rFonts w:cstheme="minorHAnsi"/>
        </w:rPr>
        <w:t xml:space="preserve">relative abundance </w:t>
      </w:r>
      <w:r w:rsidR="00A7727E" w:rsidRPr="00E82D87">
        <w:rPr>
          <w:rFonts w:cstheme="minorHAnsi"/>
        </w:rPr>
        <w:t>a</w:t>
      </w:r>
      <w:r w:rsidR="006875F2" w:rsidRPr="00E82D87">
        <w:rPr>
          <w:rFonts w:cstheme="minorHAnsi"/>
        </w:rPr>
        <w:t xml:space="preserve">s the best indicator of recovery and consequently, </w:t>
      </w:r>
      <w:r w:rsidR="00FE15BE" w:rsidRPr="00E82D87">
        <w:rPr>
          <w:rFonts w:cstheme="minorHAnsi"/>
        </w:rPr>
        <w:t>this is the</w:t>
      </w:r>
      <w:r w:rsidRPr="00E82D87">
        <w:rPr>
          <w:rFonts w:cstheme="minorHAnsi"/>
        </w:rPr>
        <w:t xml:space="preserve"> key priority for monitoring </w:t>
      </w:r>
      <w:r w:rsidR="006875F2" w:rsidRPr="00E82D87">
        <w:rPr>
          <w:rFonts w:cstheme="minorHAnsi"/>
        </w:rPr>
        <w:t>to assess the</w:t>
      </w:r>
      <w:r w:rsidRPr="00E82D87">
        <w:rPr>
          <w:rFonts w:cstheme="minorHAnsi"/>
        </w:rPr>
        <w:t xml:space="preserve"> performance of the Strategy. Another five </w:t>
      </w:r>
      <w:r w:rsidR="006875F2" w:rsidRPr="00E82D87">
        <w:rPr>
          <w:rFonts w:cstheme="minorHAnsi"/>
        </w:rPr>
        <w:t xml:space="preserve">prospective </w:t>
      </w:r>
      <w:r w:rsidRPr="00E82D87">
        <w:rPr>
          <w:rFonts w:cstheme="minorHAnsi"/>
        </w:rPr>
        <w:t>indicators</w:t>
      </w:r>
      <w:r w:rsidR="00A579E4" w:rsidRPr="00E82D87">
        <w:rPr>
          <w:rFonts w:cstheme="minorHAnsi"/>
        </w:rPr>
        <w:t xml:space="preserve"> of recovery were also agreed (outlined in Table 1). </w:t>
      </w:r>
    </w:p>
    <w:p w14:paraId="218F39D7" w14:textId="58F4D6CF" w:rsidR="001764B4" w:rsidRPr="00E82D87" w:rsidRDefault="007A2F0A" w:rsidP="00F67942">
      <w:pPr>
        <w:spacing w:before="220" w:line="280" w:lineRule="exact"/>
        <w:rPr>
          <w:rFonts w:cstheme="minorHAnsi"/>
        </w:rPr>
      </w:pPr>
      <w:r w:rsidRPr="00E82D87">
        <w:rPr>
          <w:rFonts w:cstheme="minorHAnsi"/>
        </w:rPr>
        <w:t xml:space="preserve">Williams </w:t>
      </w:r>
      <w:r w:rsidRPr="00FE660E">
        <w:rPr>
          <w:rFonts w:cstheme="minorHAnsi"/>
        </w:rPr>
        <w:t>et al</w:t>
      </w:r>
      <w:r w:rsidRPr="00E82D87">
        <w:rPr>
          <w:rFonts w:cstheme="minorHAnsi"/>
        </w:rPr>
        <w:t>. (2018) developed and assessed a n</w:t>
      </w:r>
      <w:r w:rsidR="00323D44" w:rsidRPr="00E82D87">
        <w:rPr>
          <w:rFonts w:cstheme="minorHAnsi"/>
        </w:rPr>
        <w:t>umber of survey design options</w:t>
      </w:r>
      <w:r w:rsidRPr="00E82D87">
        <w:rPr>
          <w:rFonts w:cstheme="minorHAnsi"/>
        </w:rPr>
        <w:t xml:space="preserve"> in consultation with stakeholders</w:t>
      </w:r>
      <w:r w:rsidR="00FE15BE" w:rsidRPr="00E82D87">
        <w:rPr>
          <w:rFonts w:cstheme="minorHAnsi"/>
        </w:rPr>
        <w:t xml:space="preserve"> for monitoring the performance of the Strategy</w:t>
      </w:r>
      <w:r w:rsidRPr="00E82D87">
        <w:rPr>
          <w:rFonts w:cstheme="minorHAnsi"/>
        </w:rPr>
        <w:t xml:space="preserve">, the outcome of which was </w:t>
      </w:r>
      <w:r w:rsidR="0093174B">
        <w:rPr>
          <w:rFonts w:cstheme="minorHAnsi"/>
        </w:rPr>
        <w:t>identifying</w:t>
      </w:r>
      <w:r w:rsidR="0093174B" w:rsidRPr="00E82D87">
        <w:rPr>
          <w:rFonts w:cstheme="minorHAnsi"/>
        </w:rPr>
        <w:t xml:space="preserve"> </w:t>
      </w:r>
      <w:r w:rsidRPr="00E82D87">
        <w:rPr>
          <w:rFonts w:cstheme="minorHAnsi"/>
        </w:rPr>
        <w:t xml:space="preserve">a preferred option ‘Option 1a’ in the report. Option 1a is based on fishery independent surveys of six reference sites </w:t>
      </w:r>
      <w:r w:rsidR="00323D44" w:rsidRPr="00E82D87">
        <w:rPr>
          <w:rFonts w:cstheme="minorHAnsi"/>
        </w:rPr>
        <w:t xml:space="preserve">across the SESSF </w:t>
      </w:r>
      <w:r w:rsidRPr="00E82D87">
        <w:rPr>
          <w:rFonts w:cstheme="minorHAnsi"/>
        </w:rPr>
        <w:t>using the automatic longline method with suitable fishing/handling practices to measure relative abundance</w:t>
      </w:r>
      <w:r w:rsidR="00E62B5B" w:rsidRPr="00E82D87">
        <w:rPr>
          <w:rFonts w:cstheme="minorHAnsi"/>
        </w:rPr>
        <w:t xml:space="preserve"> (the top ranked priority for monitoring recovery)</w:t>
      </w:r>
      <w:r w:rsidRPr="00E82D87">
        <w:rPr>
          <w:rFonts w:cstheme="minorHAnsi"/>
        </w:rPr>
        <w:t xml:space="preserve">.  </w:t>
      </w:r>
      <w:r w:rsidR="00E62B5B" w:rsidRPr="00E82D87">
        <w:rPr>
          <w:rFonts w:cstheme="minorHAnsi"/>
        </w:rPr>
        <w:t xml:space="preserve">This methodology also </w:t>
      </w:r>
      <w:r w:rsidR="00A579E4" w:rsidRPr="00E82D87">
        <w:rPr>
          <w:rFonts w:cstheme="minorHAnsi"/>
        </w:rPr>
        <w:t xml:space="preserve">provides the opportunity to collect data </w:t>
      </w:r>
      <w:r w:rsidR="00E62B5B" w:rsidRPr="00E82D87">
        <w:rPr>
          <w:rFonts w:cstheme="minorHAnsi"/>
        </w:rPr>
        <w:t xml:space="preserve">to support </w:t>
      </w:r>
      <w:r w:rsidR="00323D44" w:rsidRPr="00E82D87">
        <w:rPr>
          <w:rFonts w:cstheme="minorHAnsi"/>
        </w:rPr>
        <w:t xml:space="preserve">a level of </w:t>
      </w:r>
      <w:r w:rsidR="00A579E4" w:rsidRPr="00E82D87">
        <w:rPr>
          <w:rFonts w:cstheme="minorHAnsi"/>
        </w:rPr>
        <w:t xml:space="preserve">monitoring </w:t>
      </w:r>
      <w:r w:rsidR="00E62B5B" w:rsidRPr="00E82D87">
        <w:rPr>
          <w:rFonts w:cstheme="minorHAnsi"/>
        </w:rPr>
        <w:t xml:space="preserve">of </w:t>
      </w:r>
      <w:r w:rsidR="00A579E4" w:rsidRPr="00E82D87">
        <w:rPr>
          <w:rFonts w:cstheme="minorHAnsi"/>
        </w:rPr>
        <w:t>the</w:t>
      </w:r>
      <w:r w:rsidR="00E62B5B" w:rsidRPr="00E82D87">
        <w:rPr>
          <w:rFonts w:cstheme="minorHAnsi"/>
        </w:rPr>
        <w:t xml:space="preserve"> other agreed indicators. </w:t>
      </w:r>
      <w:r w:rsidR="00323D44" w:rsidRPr="00E82D87">
        <w:rPr>
          <w:rFonts w:cstheme="minorHAnsi"/>
        </w:rPr>
        <w:t>AFMA has adopted a</w:t>
      </w:r>
      <w:r w:rsidR="00E62B5B" w:rsidRPr="00E82D87">
        <w:rPr>
          <w:rFonts w:cstheme="minorHAnsi"/>
        </w:rPr>
        <w:t xml:space="preserve"> project to execute </w:t>
      </w:r>
      <w:r w:rsidR="00FE15BE" w:rsidRPr="00E82D87">
        <w:rPr>
          <w:rFonts w:cstheme="minorHAnsi"/>
        </w:rPr>
        <w:t>‘</w:t>
      </w:r>
      <w:r w:rsidR="00323D44" w:rsidRPr="00E82D87">
        <w:rPr>
          <w:rFonts w:cstheme="minorHAnsi"/>
        </w:rPr>
        <w:t>Option 1a</w:t>
      </w:r>
      <w:r w:rsidR="00FE15BE" w:rsidRPr="00E82D87">
        <w:rPr>
          <w:rFonts w:cstheme="minorHAnsi"/>
        </w:rPr>
        <w:t>’</w:t>
      </w:r>
      <w:r w:rsidR="00323D44" w:rsidRPr="00E82D87">
        <w:rPr>
          <w:rFonts w:cstheme="minorHAnsi"/>
        </w:rPr>
        <w:t xml:space="preserve"> as </w:t>
      </w:r>
      <w:r w:rsidR="00E62B5B" w:rsidRPr="00E82D87">
        <w:rPr>
          <w:rFonts w:cstheme="minorHAnsi"/>
        </w:rPr>
        <w:t xml:space="preserve">the highest priority for this Plan. </w:t>
      </w:r>
      <w:r w:rsidR="00C554C0" w:rsidRPr="00163134">
        <w:rPr>
          <w:rFonts w:cstheme="minorHAnsi"/>
        </w:rPr>
        <w:t>AFMA is currently identifying a source of funding to undertake the project.</w:t>
      </w:r>
    </w:p>
    <w:p w14:paraId="0B16E7EE" w14:textId="32A70913" w:rsidR="00F67942" w:rsidRPr="00E82D87" w:rsidRDefault="00FE15BE" w:rsidP="00F67942">
      <w:pPr>
        <w:spacing w:before="220" w:line="280" w:lineRule="exact"/>
        <w:rPr>
          <w:rFonts w:cstheme="minorHAnsi"/>
        </w:rPr>
      </w:pPr>
      <w:r w:rsidRPr="00E82D87">
        <w:rPr>
          <w:rFonts w:cstheme="minorHAnsi"/>
        </w:rPr>
        <w:t>‘</w:t>
      </w:r>
      <w:r w:rsidR="00323D44" w:rsidRPr="00E82D87">
        <w:rPr>
          <w:rFonts w:cstheme="minorHAnsi"/>
        </w:rPr>
        <w:t>Option 1a</w:t>
      </w:r>
      <w:r w:rsidRPr="00E82D87">
        <w:rPr>
          <w:rFonts w:cstheme="minorHAnsi"/>
        </w:rPr>
        <w:t>’</w:t>
      </w:r>
      <w:r w:rsidR="00323D44" w:rsidRPr="00E82D87">
        <w:rPr>
          <w:rFonts w:cstheme="minorHAnsi"/>
        </w:rPr>
        <w:t xml:space="preserve"> also</w:t>
      </w:r>
      <w:r w:rsidR="00EF264C" w:rsidRPr="00E82D87">
        <w:rPr>
          <w:rFonts w:cstheme="minorHAnsi"/>
        </w:rPr>
        <w:t xml:space="preserve"> </w:t>
      </w:r>
      <w:r w:rsidR="00EE10EA" w:rsidRPr="00E82D87">
        <w:rPr>
          <w:rFonts w:cstheme="minorHAnsi"/>
        </w:rPr>
        <w:t>directly addresses the first two of five areas</w:t>
      </w:r>
      <w:r w:rsidR="001764B4" w:rsidRPr="00E82D87">
        <w:rPr>
          <w:rFonts w:cstheme="minorHAnsi"/>
        </w:rPr>
        <w:t xml:space="preserve"> initially </w:t>
      </w:r>
      <w:r w:rsidR="007E57F4" w:rsidRPr="00E82D87">
        <w:rPr>
          <w:rFonts w:cstheme="minorHAnsi"/>
        </w:rPr>
        <w:t xml:space="preserve">identified in the Strategy as </w:t>
      </w:r>
      <w:r w:rsidR="008473CF" w:rsidRPr="00E82D87">
        <w:rPr>
          <w:rFonts w:cstheme="minorHAnsi"/>
        </w:rPr>
        <w:t>warranting consideration</w:t>
      </w:r>
      <w:r w:rsidR="007E57F4" w:rsidRPr="00E82D87">
        <w:rPr>
          <w:rFonts w:cstheme="minorHAnsi"/>
        </w:rPr>
        <w:t xml:space="preserve"> in the development of a research and monitoring plan</w:t>
      </w:r>
      <w:r w:rsidR="008473CF" w:rsidRPr="00E82D87">
        <w:rPr>
          <w:rFonts w:cstheme="minorHAnsi"/>
        </w:rPr>
        <w:t>,</w:t>
      </w:r>
      <w:r w:rsidR="00EE10EA" w:rsidRPr="00E82D87">
        <w:rPr>
          <w:rFonts w:cstheme="minorHAnsi"/>
        </w:rPr>
        <w:t xml:space="preserve"> and provides an opportunity to collect data that will go some way to addressing the remaining three areas: </w:t>
      </w:r>
      <w:r w:rsidR="007E57F4" w:rsidRPr="00E82D87">
        <w:rPr>
          <w:rFonts w:cstheme="minorHAnsi"/>
        </w:rPr>
        <w:t xml:space="preserve"> </w:t>
      </w:r>
      <w:r w:rsidR="00F67942" w:rsidRPr="00E82D87">
        <w:rPr>
          <w:rFonts w:cstheme="minorHAnsi"/>
        </w:rPr>
        <w:t xml:space="preserve"> </w:t>
      </w:r>
    </w:p>
    <w:p w14:paraId="08CC41F9" w14:textId="34AA2F41" w:rsidR="00F67942" w:rsidRPr="00E82D87" w:rsidRDefault="0093174B" w:rsidP="00F67942">
      <w:pPr>
        <w:numPr>
          <w:ilvl w:val="0"/>
          <w:numId w:val="15"/>
        </w:numPr>
        <w:spacing w:before="220" w:after="0" w:line="280" w:lineRule="exact"/>
        <w:jc w:val="both"/>
        <w:rPr>
          <w:rFonts w:cstheme="minorHAnsi"/>
        </w:rPr>
      </w:pPr>
      <w:r>
        <w:rPr>
          <w:rFonts w:cstheme="minorHAnsi"/>
        </w:rPr>
        <w:t>Identifying</w:t>
      </w:r>
      <w:r w:rsidR="00F67942" w:rsidRPr="00E82D87">
        <w:rPr>
          <w:rFonts w:cstheme="minorHAnsi"/>
        </w:rPr>
        <w:t xml:space="preserve"> reference sites in areas open and closed to fishing, and those of current and historic abundance, to be sampled through time (nominally every 5 years) to monitor population recovery or decline</w:t>
      </w:r>
    </w:p>
    <w:p w14:paraId="1F0B9CE4" w14:textId="7FE39D69" w:rsidR="00F67942" w:rsidRPr="00E82D87" w:rsidRDefault="0093174B" w:rsidP="00F67942">
      <w:pPr>
        <w:numPr>
          <w:ilvl w:val="0"/>
          <w:numId w:val="15"/>
        </w:numPr>
        <w:spacing w:before="120" w:after="0" w:line="280" w:lineRule="exact"/>
        <w:jc w:val="both"/>
        <w:rPr>
          <w:rFonts w:cstheme="minorHAnsi"/>
        </w:rPr>
      </w:pPr>
      <w:r>
        <w:rPr>
          <w:rFonts w:cstheme="minorHAnsi"/>
        </w:rPr>
        <w:t>Identifying</w:t>
      </w:r>
      <w:r w:rsidR="00F67942" w:rsidRPr="00E82D87">
        <w:rPr>
          <w:rFonts w:cstheme="minorHAnsi"/>
        </w:rPr>
        <w:t xml:space="preserve"> baseline numbers of individuals in reference sites described above to aid in long-term monitoring of upper</w:t>
      </w:r>
      <w:r w:rsidR="00E82D87" w:rsidRPr="00E82D87">
        <w:rPr>
          <w:rFonts w:cstheme="minorHAnsi"/>
        </w:rPr>
        <w:t>-</w:t>
      </w:r>
      <w:r w:rsidR="00F67942" w:rsidRPr="00E82D87">
        <w:rPr>
          <w:rFonts w:cstheme="minorHAnsi"/>
        </w:rPr>
        <w:t>slope dogfish populations</w:t>
      </w:r>
    </w:p>
    <w:p w14:paraId="1B8E897B" w14:textId="5281DAE9" w:rsidR="00F67942" w:rsidRPr="00E82D87" w:rsidRDefault="00F67942" w:rsidP="00F67942">
      <w:pPr>
        <w:numPr>
          <w:ilvl w:val="0"/>
          <w:numId w:val="15"/>
        </w:numPr>
        <w:spacing w:before="120" w:after="0" w:line="280" w:lineRule="exact"/>
        <w:jc w:val="both"/>
        <w:rPr>
          <w:rFonts w:cstheme="minorHAnsi"/>
        </w:rPr>
      </w:pPr>
      <w:r w:rsidRPr="00E82D87">
        <w:rPr>
          <w:rFonts w:cstheme="minorHAnsi"/>
        </w:rPr>
        <w:t xml:space="preserve">Genetic analysis to define stocks of both </w:t>
      </w:r>
      <w:r w:rsidR="00F279F7" w:rsidRPr="00E82D87">
        <w:rPr>
          <w:rFonts w:cstheme="minorHAnsi"/>
        </w:rPr>
        <w:t>southern</w:t>
      </w:r>
      <w:r w:rsidRPr="00E82D87">
        <w:rPr>
          <w:rFonts w:cstheme="minorHAnsi"/>
        </w:rPr>
        <w:t xml:space="preserve"> and Harrisson’s </w:t>
      </w:r>
      <w:r w:rsidR="00F279F7" w:rsidRPr="00E82D87">
        <w:rPr>
          <w:rFonts w:cstheme="minorHAnsi"/>
        </w:rPr>
        <w:t>dogfish</w:t>
      </w:r>
    </w:p>
    <w:p w14:paraId="463D056E" w14:textId="77777777" w:rsidR="00F67942" w:rsidRPr="00E82D87" w:rsidRDefault="00F67942" w:rsidP="00F67942">
      <w:pPr>
        <w:numPr>
          <w:ilvl w:val="0"/>
          <w:numId w:val="15"/>
        </w:numPr>
        <w:spacing w:before="120" w:after="0" w:line="280" w:lineRule="exact"/>
        <w:jc w:val="both"/>
        <w:rPr>
          <w:rFonts w:cstheme="minorHAnsi"/>
        </w:rPr>
      </w:pPr>
      <w:r w:rsidRPr="00E82D87">
        <w:rPr>
          <w:rFonts w:cstheme="minorHAnsi"/>
        </w:rPr>
        <w:t>Comprehensive life history analysis, particularly age and growth, to refine generation time and recovery potential</w:t>
      </w:r>
    </w:p>
    <w:p w14:paraId="2E062D52" w14:textId="1A530E63" w:rsidR="00F67942" w:rsidRPr="00E82D87" w:rsidRDefault="00900258" w:rsidP="00F67942">
      <w:pPr>
        <w:numPr>
          <w:ilvl w:val="0"/>
          <w:numId w:val="15"/>
        </w:numPr>
        <w:spacing w:before="120" w:after="0" w:line="280" w:lineRule="exact"/>
        <w:jc w:val="both"/>
        <w:rPr>
          <w:rFonts w:cstheme="minorHAnsi"/>
        </w:rPr>
      </w:pPr>
      <w:r>
        <w:rPr>
          <w:rFonts w:cstheme="minorHAnsi"/>
        </w:rPr>
        <w:t>Defining</w:t>
      </w:r>
      <w:r w:rsidR="00F67942" w:rsidRPr="00E82D87">
        <w:rPr>
          <w:rFonts w:cstheme="minorHAnsi"/>
        </w:rPr>
        <w:t xml:space="preserve"> the extent</w:t>
      </w:r>
      <w:r w:rsidR="006E1C84">
        <w:rPr>
          <w:rFonts w:cstheme="minorHAnsi"/>
        </w:rPr>
        <w:t xml:space="preserve"> of</w:t>
      </w:r>
      <w:r w:rsidR="00F67942" w:rsidRPr="00E82D87">
        <w:rPr>
          <w:rFonts w:cstheme="minorHAnsi"/>
        </w:rPr>
        <w:t xml:space="preserve"> Harrisson’s </w:t>
      </w:r>
      <w:r w:rsidR="00F279F7" w:rsidRPr="00E82D87">
        <w:rPr>
          <w:rFonts w:cstheme="minorHAnsi"/>
        </w:rPr>
        <w:t>dogfish</w:t>
      </w:r>
      <w:r w:rsidR="00F279F7">
        <w:rPr>
          <w:rFonts w:cstheme="minorHAnsi"/>
        </w:rPr>
        <w:t xml:space="preserve"> </w:t>
      </w:r>
      <w:r>
        <w:rPr>
          <w:rFonts w:cstheme="minorHAnsi"/>
        </w:rPr>
        <w:t>movement</w:t>
      </w:r>
      <w:r w:rsidR="006E1C84">
        <w:rPr>
          <w:rFonts w:cstheme="minorHAnsi"/>
        </w:rPr>
        <w:t>s</w:t>
      </w:r>
      <w:r>
        <w:rPr>
          <w:rFonts w:cstheme="minorHAnsi"/>
        </w:rPr>
        <w:t>,</w:t>
      </w:r>
      <w:r w:rsidR="00F67942" w:rsidRPr="00E82D87">
        <w:rPr>
          <w:rFonts w:cstheme="minorHAnsi"/>
        </w:rPr>
        <w:t xml:space="preserve"> similar to research conducted </w:t>
      </w:r>
      <w:r>
        <w:rPr>
          <w:rFonts w:cstheme="minorHAnsi"/>
        </w:rPr>
        <w:t>to define</w:t>
      </w:r>
      <w:r w:rsidRPr="00E82D87">
        <w:rPr>
          <w:rFonts w:cstheme="minorHAnsi"/>
        </w:rPr>
        <w:t xml:space="preserve"> </w:t>
      </w:r>
      <w:r w:rsidR="00F279F7" w:rsidRPr="00E82D87">
        <w:rPr>
          <w:rFonts w:cstheme="minorHAnsi"/>
        </w:rPr>
        <w:t xml:space="preserve">southern dogfish </w:t>
      </w:r>
      <w:r w:rsidR="00F67942" w:rsidRPr="00E82D87">
        <w:rPr>
          <w:rFonts w:cstheme="minorHAnsi"/>
        </w:rPr>
        <w:t>movement.</w:t>
      </w:r>
    </w:p>
    <w:p w14:paraId="1F435816" w14:textId="77777777" w:rsidR="007E57F4" w:rsidRPr="00E82D87" w:rsidRDefault="007E57F4" w:rsidP="00DB11C6">
      <w:pPr>
        <w:rPr>
          <w:rFonts w:cstheme="minorHAnsi"/>
        </w:rPr>
      </w:pPr>
    </w:p>
    <w:p w14:paraId="6362B485" w14:textId="34B038A0" w:rsidR="00323D44" w:rsidRPr="00E82D87" w:rsidRDefault="00E050A6" w:rsidP="005B5736">
      <w:pPr>
        <w:rPr>
          <w:rFonts w:cstheme="minorHAnsi"/>
        </w:rPr>
      </w:pPr>
      <w:r w:rsidRPr="00E82D87">
        <w:rPr>
          <w:rFonts w:cstheme="minorHAnsi"/>
        </w:rPr>
        <w:lastRenderedPageBreak/>
        <w:t xml:space="preserve">Fishery dependent data will continue to be collected via </w:t>
      </w:r>
      <w:r w:rsidR="00FB3220" w:rsidRPr="00E82D87">
        <w:rPr>
          <w:rFonts w:cstheme="minorHAnsi"/>
        </w:rPr>
        <w:t xml:space="preserve">daily fishing </w:t>
      </w:r>
      <w:r w:rsidR="00FE15BE" w:rsidRPr="00E82D87">
        <w:rPr>
          <w:rFonts w:cstheme="minorHAnsi"/>
        </w:rPr>
        <w:t>logbooks with</w:t>
      </w:r>
      <w:r w:rsidRPr="00E82D87">
        <w:rPr>
          <w:rFonts w:cstheme="minorHAnsi"/>
        </w:rPr>
        <w:t xml:space="preserve"> routine monitoring of commercial fishing activity by on-board observers and electronic </w:t>
      </w:r>
      <w:r w:rsidR="00323D44" w:rsidRPr="00E82D87">
        <w:rPr>
          <w:rFonts w:cstheme="minorHAnsi"/>
        </w:rPr>
        <w:t>monitoring. However, relative abundance is expected to be measure</w:t>
      </w:r>
      <w:r w:rsidR="00FE15BE" w:rsidRPr="00E82D87">
        <w:rPr>
          <w:rFonts w:cstheme="minorHAnsi"/>
        </w:rPr>
        <w:t>d</w:t>
      </w:r>
      <w:r w:rsidR="00323D44" w:rsidRPr="00E82D87">
        <w:rPr>
          <w:rFonts w:cstheme="minorHAnsi"/>
        </w:rPr>
        <w:t xml:space="preserve"> most reliably within closures where there is no fishing </w:t>
      </w:r>
      <w:r w:rsidR="008473CF" w:rsidRPr="00E82D87">
        <w:rPr>
          <w:rFonts w:cstheme="minorHAnsi"/>
        </w:rPr>
        <w:t xml:space="preserve">and consequently, requires fishery independent surveys. This is because logbook reporting is confounded by challenges in identifying species </w:t>
      </w:r>
      <w:r w:rsidR="00FE15BE" w:rsidRPr="00E82D87">
        <w:rPr>
          <w:rFonts w:cstheme="minorHAnsi"/>
        </w:rPr>
        <w:t>rapid</w:t>
      </w:r>
      <w:r w:rsidR="008473CF" w:rsidRPr="00E82D87">
        <w:rPr>
          <w:rFonts w:cstheme="minorHAnsi"/>
        </w:rPr>
        <w:t xml:space="preserve">ly </w:t>
      </w:r>
      <w:r w:rsidR="00FE15BE" w:rsidRPr="00E82D87">
        <w:rPr>
          <w:rFonts w:cstheme="minorHAnsi"/>
        </w:rPr>
        <w:t xml:space="preserve">under the current </w:t>
      </w:r>
      <w:r w:rsidR="00323D44" w:rsidRPr="00E82D87">
        <w:rPr>
          <w:rFonts w:cstheme="minorHAnsi"/>
        </w:rPr>
        <w:t xml:space="preserve">handling practices </w:t>
      </w:r>
      <w:r w:rsidR="0033785A" w:rsidRPr="00E82D87">
        <w:rPr>
          <w:rFonts w:cstheme="minorHAnsi"/>
        </w:rPr>
        <w:t xml:space="preserve">required </w:t>
      </w:r>
      <w:r w:rsidR="008473CF" w:rsidRPr="00E82D87">
        <w:rPr>
          <w:rFonts w:cstheme="minorHAnsi"/>
        </w:rPr>
        <w:t>by</w:t>
      </w:r>
      <w:r w:rsidR="0033785A" w:rsidRPr="00E82D87">
        <w:rPr>
          <w:rFonts w:cstheme="minorHAnsi"/>
        </w:rPr>
        <w:t xml:space="preserve"> the Strategy</w:t>
      </w:r>
      <w:r w:rsidR="00F761A5" w:rsidRPr="00E82D87">
        <w:rPr>
          <w:rFonts w:cstheme="minorHAnsi"/>
        </w:rPr>
        <w:t xml:space="preserve">. For example, </w:t>
      </w:r>
      <w:r w:rsidR="0033785A" w:rsidRPr="00E82D87">
        <w:rPr>
          <w:rFonts w:cstheme="minorHAnsi"/>
        </w:rPr>
        <w:t>dogfish are required to be cut off the line as close to the wate</w:t>
      </w:r>
      <w:r w:rsidR="00F761A5" w:rsidRPr="00E82D87">
        <w:rPr>
          <w:rFonts w:cstheme="minorHAnsi"/>
        </w:rPr>
        <w:t>r as possible by hook operators to maximise the</w:t>
      </w:r>
      <w:r w:rsidR="00543B27" w:rsidRPr="00E82D87">
        <w:rPr>
          <w:rFonts w:cstheme="minorHAnsi"/>
        </w:rPr>
        <w:t>ir</w:t>
      </w:r>
      <w:r w:rsidR="00F761A5" w:rsidRPr="00E82D87">
        <w:rPr>
          <w:rFonts w:cstheme="minorHAnsi"/>
        </w:rPr>
        <w:t xml:space="preserve"> chances of survival but </w:t>
      </w:r>
      <w:r w:rsidR="00543B27" w:rsidRPr="00E82D87">
        <w:rPr>
          <w:rFonts w:cstheme="minorHAnsi"/>
        </w:rPr>
        <w:t xml:space="preserve">this </w:t>
      </w:r>
      <w:r w:rsidR="00F761A5" w:rsidRPr="00E82D87">
        <w:rPr>
          <w:rFonts w:cstheme="minorHAnsi"/>
        </w:rPr>
        <w:t xml:space="preserve">reduces the opportunity for accurate identification. Further, increases in abundances are expected to be higher within closures and therefore more readily detectable.  </w:t>
      </w:r>
      <w:r w:rsidR="0033785A" w:rsidRPr="00E82D87">
        <w:rPr>
          <w:rFonts w:cstheme="minorHAnsi"/>
        </w:rPr>
        <w:t xml:space="preserve"> </w:t>
      </w:r>
    </w:p>
    <w:p w14:paraId="06ABD301" w14:textId="052BCBB3" w:rsidR="00DB11C6" w:rsidRPr="00E82D87" w:rsidRDefault="00DB11C6" w:rsidP="005B5736">
      <w:pPr>
        <w:rPr>
          <w:rFonts w:cstheme="minorHAnsi"/>
          <w:b/>
          <w:i/>
        </w:rPr>
      </w:pPr>
      <w:r w:rsidRPr="00E82D87">
        <w:rPr>
          <w:rFonts w:cstheme="minorHAnsi"/>
          <w:b/>
          <w:i/>
        </w:rPr>
        <w:t xml:space="preserve">Review </w:t>
      </w:r>
    </w:p>
    <w:p w14:paraId="177C1683" w14:textId="628F6C4D" w:rsidR="00F761A5" w:rsidRPr="00E82D87" w:rsidRDefault="00DB11C6">
      <w:pPr>
        <w:rPr>
          <w:rFonts w:cstheme="minorHAnsi"/>
        </w:rPr>
      </w:pPr>
      <w:r w:rsidRPr="00E82D87">
        <w:rPr>
          <w:rFonts w:cstheme="minorHAnsi"/>
        </w:rPr>
        <w:t>Research priorities are reviewed annually through the relevant Management Advisory Committees (MACs) and Resource Assessment Groups (RAGs), and are subject to approval by the AFMA Research Committee.</w:t>
      </w:r>
      <w:r w:rsidR="00F761A5" w:rsidRPr="00E82D87">
        <w:rPr>
          <w:rFonts w:cstheme="minorHAnsi"/>
        </w:rPr>
        <w:t xml:space="preserve"> This plan will be formally reviewed</w:t>
      </w:r>
      <w:r w:rsidR="00900258">
        <w:rPr>
          <w:rFonts w:cstheme="minorHAnsi"/>
        </w:rPr>
        <w:t xml:space="preserve"> every five years</w:t>
      </w:r>
      <w:r w:rsidR="00F761A5" w:rsidRPr="00E82D87">
        <w:rPr>
          <w:rFonts w:cstheme="minorHAnsi"/>
        </w:rPr>
        <w:t xml:space="preserve"> in conjunction with the Strategy</w:t>
      </w:r>
      <w:r w:rsidR="00900258">
        <w:rPr>
          <w:rFonts w:cstheme="minorHAnsi"/>
        </w:rPr>
        <w:t>.</w:t>
      </w:r>
    </w:p>
    <w:p w14:paraId="20944130" w14:textId="4F755B16" w:rsidR="00F74459" w:rsidRPr="00E82D87" w:rsidRDefault="00F74459" w:rsidP="001E076D">
      <w:pPr>
        <w:rPr>
          <w:rFonts w:cstheme="minorHAnsi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2257"/>
        <w:gridCol w:w="3847"/>
        <w:gridCol w:w="3261"/>
        <w:gridCol w:w="2187"/>
      </w:tblGrid>
      <w:tr w:rsidR="00B92CF5" w:rsidRPr="00E82D87" w14:paraId="66B1F69D" w14:textId="77777777" w:rsidTr="005B5736">
        <w:tc>
          <w:tcPr>
            <w:tcW w:w="5000" w:type="pct"/>
            <w:gridSpan w:val="5"/>
            <w:shd w:val="clear" w:color="auto" w:fill="9CC2E5" w:themeFill="accent1" w:themeFillTint="99"/>
          </w:tcPr>
          <w:p w14:paraId="2007CF8C" w14:textId="7B5388F3" w:rsidR="00B92CF5" w:rsidRPr="00E82D87" w:rsidRDefault="001444CC" w:rsidP="005B5736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Table 1. Indicators and their priority for monitoring the recovery of Harrisson’s and </w:t>
            </w:r>
            <w:r w:rsidR="00F279F7" w:rsidRPr="00E82D87">
              <w:rPr>
                <w:rFonts w:cstheme="minorHAnsi"/>
                <w:b/>
              </w:rPr>
              <w:t>s</w:t>
            </w:r>
            <w:r w:rsidRPr="00E82D87">
              <w:rPr>
                <w:rFonts w:cstheme="minorHAnsi"/>
                <w:b/>
              </w:rPr>
              <w:t>outhern dogfish</w:t>
            </w:r>
          </w:p>
        </w:tc>
      </w:tr>
      <w:tr w:rsidR="00B92CF5" w:rsidRPr="00E82D87" w14:paraId="0B32B27F" w14:textId="6ECDABB3" w:rsidTr="005B5736">
        <w:tc>
          <w:tcPr>
            <w:tcW w:w="859" w:type="pct"/>
            <w:shd w:val="clear" w:color="auto" w:fill="9CC2E5" w:themeFill="accent1" w:themeFillTint="99"/>
          </w:tcPr>
          <w:p w14:paraId="1BDE9C63" w14:textId="48625ABA" w:rsidR="00B92CF5" w:rsidRPr="00E82D87" w:rsidRDefault="00B92CF5" w:rsidP="00286B74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Indicator of </w:t>
            </w:r>
            <w:r w:rsidR="00F279F7" w:rsidRPr="00E82D87">
              <w:rPr>
                <w:rFonts w:cstheme="minorHAnsi"/>
                <w:b/>
              </w:rPr>
              <w:t>r</w:t>
            </w:r>
            <w:r w:rsidRPr="00E82D87">
              <w:rPr>
                <w:rFonts w:cstheme="minorHAnsi"/>
                <w:b/>
              </w:rPr>
              <w:t>ecovery</w:t>
            </w:r>
          </w:p>
        </w:tc>
        <w:tc>
          <w:tcPr>
            <w:tcW w:w="809" w:type="pct"/>
            <w:shd w:val="clear" w:color="auto" w:fill="9CC2E5" w:themeFill="accent1" w:themeFillTint="99"/>
          </w:tcPr>
          <w:p w14:paraId="462242A1" w14:textId="254DD707" w:rsidR="00B92CF5" w:rsidRPr="00E82D87" w:rsidRDefault="007956BD" w:rsidP="00286B74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Expected population response</w:t>
            </w:r>
          </w:p>
        </w:tc>
        <w:tc>
          <w:tcPr>
            <w:tcW w:w="1379" w:type="pct"/>
            <w:shd w:val="clear" w:color="auto" w:fill="9CC2E5" w:themeFill="accent1" w:themeFillTint="99"/>
          </w:tcPr>
          <w:p w14:paraId="2B62EAF6" w14:textId="283F1422" w:rsidR="00B92CF5" w:rsidRPr="00E82D87" w:rsidRDefault="00DA2570" w:rsidP="00917125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Project identified </w:t>
            </w:r>
          </w:p>
        </w:tc>
        <w:tc>
          <w:tcPr>
            <w:tcW w:w="1169" w:type="pct"/>
            <w:shd w:val="clear" w:color="auto" w:fill="9CC2E5" w:themeFill="accent1" w:themeFillTint="99"/>
          </w:tcPr>
          <w:p w14:paraId="0CDCBC5B" w14:textId="16F4154D" w:rsidR="00B92CF5" w:rsidRPr="00E82D87" w:rsidRDefault="00F50F5D" w:rsidP="00286B74">
            <w:pPr>
              <w:spacing w:before="240"/>
              <w:jc w:val="center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Priority </w:t>
            </w:r>
            <w:r w:rsidR="00632086" w:rsidRPr="00E82D87">
              <w:rPr>
                <w:rFonts w:cstheme="minorHAnsi"/>
                <w:b/>
              </w:rPr>
              <w:t>and cost</w:t>
            </w:r>
          </w:p>
        </w:tc>
        <w:tc>
          <w:tcPr>
            <w:tcW w:w="784" w:type="pct"/>
            <w:shd w:val="clear" w:color="auto" w:fill="9CC2E5" w:themeFill="accent1" w:themeFillTint="99"/>
          </w:tcPr>
          <w:p w14:paraId="6340E26B" w14:textId="2CE1E040" w:rsidR="00B92CF5" w:rsidRPr="00E82D87" w:rsidRDefault="00632086" w:rsidP="00632086">
            <w:pPr>
              <w:spacing w:before="240"/>
              <w:jc w:val="center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Timeframe</w:t>
            </w:r>
          </w:p>
        </w:tc>
      </w:tr>
      <w:tr w:rsidR="00B92CF5" w:rsidRPr="00E82D87" w14:paraId="6D451885" w14:textId="4B3B0E65" w:rsidTr="00B92CF5">
        <w:tc>
          <w:tcPr>
            <w:tcW w:w="859" w:type="pct"/>
            <w:shd w:val="clear" w:color="auto" w:fill="auto"/>
          </w:tcPr>
          <w:p w14:paraId="32F677E5" w14:textId="1E27DD1A" w:rsidR="00B92CF5" w:rsidRPr="00E82D87" w:rsidRDefault="00B92CF5" w:rsidP="00B92CF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 xml:space="preserve">Relative index of abundance in reference areas </w:t>
            </w:r>
          </w:p>
        </w:tc>
        <w:tc>
          <w:tcPr>
            <w:tcW w:w="809" w:type="pct"/>
            <w:shd w:val="clear" w:color="auto" w:fill="auto"/>
          </w:tcPr>
          <w:p w14:paraId="34626A27" w14:textId="77777777" w:rsidR="00B92CF5" w:rsidRPr="00E82D87" w:rsidRDefault="00B92CF5" w:rsidP="00286B74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Stable or increasing </w:t>
            </w:r>
          </w:p>
        </w:tc>
        <w:tc>
          <w:tcPr>
            <w:tcW w:w="1379" w:type="pct"/>
            <w:shd w:val="clear" w:color="auto" w:fill="auto"/>
          </w:tcPr>
          <w:p w14:paraId="1CCFACE2" w14:textId="1EF6ED0E" w:rsidR="00DA2570" w:rsidRPr="00E82D87" w:rsidRDefault="00DA2570" w:rsidP="005B573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eastAsia="en-AU"/>
              </w:rPr>
            </w:pPr>
            <w:r w:rsidRPr="00E82D87">
              <w:rPr>
                <w:rFonts w:cstheme="minorHAnsi"/>
                <w:lang w:eastAsia="en-AU"/>
              </w:rPr>
              <w:t>Yes, project scope has been developed closely following the preferred option ‘Option 1a’ i</w:t>
            </w:r>
            <w:r w:rsidR="00637A73" w:rsidRPr="00E82D87">
              <w:rPr>
                <w:rFonts w:cstheme="minorHAnsi"/>
                <w:lang w:eastAsia="en-AU"/>
              </w:rPr>
              <w:t>d</w:t>
            </w:r>
            <w:r w:rsidRPr="00E82D87">
              <w:rPr>
                <w:rFonts w:cstheme="minorHAnsi"/>
                <w:lang w:eastAsia="en-AU"/>
              </w:rPr>
              <w:t>entif</w:t>
            </w:r>
            <w:r w:rsidR="00637A73" w:rsidRPr="00E82D87">
              <w:rPr>
                <w:rFonts w:cstheme="minorHAnsi"/>
                <w:lang w:eastAsia="en-AU"/>
              </w:rPr>
              <w:t>i</w:t>
            </w:r>
            <w:r w:rsidRPr="00E82D87">
              <w:rPr>
                <w:rFonts w:cstheme="minorHAnsi"/>
                <w:lang w:eastAsia="en-AU"/>
              </w:rPr>
              <w:t xml:space="preserve">ed by Williams </w:t>
            </w:r>
            <w:r w:rsidRPr="006E1C84">
              <w:rPr>
                <w:rFonts w:cstheme="minorHAnsi"/>
                <w:lang w:eastAsia="en-AU"/>
              </w:rPr>
              <w:t>et al</w:t>
            </w:r>
            <w:r w:rsidRPr="00E82D87">
              <w:rPr>
                <w:rFonts w:cstheme="minorHAnsi"/>
                <w:lang w:eastAsia="en-AU"/>
              </w:rPr>
              <w:t xml:space="preserve">. (2018). </w:t>
            </w:r>
          </w:p>
          <w:p w14:paraId="2997F8B3" w14:textId="77777777" w:rsidR="00DA2570" w:rsidRPr="00E82D87" w:rsidRDefault="00DA2570" w:rsidP="005B573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eastAsia="en-AU"/>
              </w:rPr>
            </w:pPr>
          </w:p>
          <w:p w14:paraId="7703EFF2" w14:textId="64DC1C66" w:rsidR="008C3D9C" w:rsidRPr="00E82D87" w:rsidRDefault="00DA2570" w:rsidP="005B573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eastAsia="en-AU"/>
              </w:rPr>
            </w:pPr>
            <w:r w:rsidRPr="00E82D87">
              <w:rPr>
                <w:rFonts w:cstheme="minorHAnsi"/>
                <w:lang w:eastAsia="en-AU"/>
              </w:rPr>
              <w:t xml:space="preserve">The first survey will be to establish the baseline index of abundance </w:t>
            </w:r>
            <w:r w:rsidR="00637A73" w:rsidRPr="00E82D87">
              <w:rPr>
                <w:rFonts w:cstheme="minorHAnsi"/>
                <w:lang w:eastAsia="en-AU"/>
              </w:rPr>
              <w:t xml:space="preserve">for both Harisson’s and </w:t>
            </w:r>
            <w:r w:rsidR="00F279F7" w:rsidRPr="00E82D87">
              <w:rPr>
                <w:rFonts w:cstheme="minorHAnsi"/>
                <w:lang w:eastAsia="en-AU"/>
              </w:rPr>
              <w:t xml:space="preserve">southern dogfish </w:t>
            </w:r>
            <w:r w:rsidR="00637A73" w:rsidRPr="00E82D87">
              <w:rPr>
                <w:rFonts w:cstheme="minorHAnsi"/>
                <w:lang w:eastAsia="en-AU"/>
              </w:rPr>
              <w:t>across six reference areas using the auto</w:t>
            </w:r>
            <w:r w:rsidR="00A80860" w:rsidRPr="00E82D87">
              <w:rPr>
                <w:rFonts w:cstheme="minorHAnsi"/>
                <w:lang w:eastAsia="en-AU"/>
              </w:rPr>
              <w:t>-</w:t>
            </w:r>
            <w:r w:rsidR="00637A73" w:rsidRPr="00E82D87">
              <w:rPr>
                <w:rFonts w:cstheme="minorHAnsi"/>
                <w:lang w:eastAsia="en-AU"/>
              </w:rPr>
              <w:t xml:space="preserve">longline method. </w:t>
            </w:r>
            <w:r w:rsidR="008C3D9C" w:rsidRPr="00E82D87">
              <w:rPr>
                <w:rFonts w:cstheme="minorHAnsi"/>
                <w:lang w:eastAsia="en-AU"/>
              </w:rPr>
              <w:t>It is al</w:t>
            </w:r>
            <w:r w:rsidR="00637A73" w:rsidRPr="00E82D87">
              <w:rPr>
                <w:rFonts w:cstheme="minorHAnsi"/>
                <w:lang w:eastAsia="en-AU"/>
              </w:rPr>
              <w:t>s</w:t>
            </w:r>
            <w:r w:rsidR="008C3D9C" w:rsidRPr="00E82D87">
              <w:rPr>
                <w:rFonts w:cstheme="minorHAnsi"/>
                <w:lang w:eastAsia="en-AU"/>
              </w:rPr>
              <w:t>o intended that B</w:t>
            </w:r>
            <w:r w:rsidR="00890176">
              <w:rPr>
                <w:rFonts w:cstheme="minorHAnsi"/>
                <w:lang w:eastAsia="en-AU"/>
              </w:rPr>
              <w:t xml:space="preserve">aited </w:t>
            </w:r>
            <w:r w:rsidR="008C3D9C" w:rsidRPr="00E82D87">
              <w:rPr>
                <w:rFonts w:cstheme="minorHAnsi"/>
                <w:lang w:eastAsia="en-AU"/>
              </w:rPr>
              <w:t>R</w:t>
            </w:r>
            <w:r w:rsidR="00890176">
              <w:rPr>
                <w:rFonts w:cstheme="minorHAnsi"/>
                <w:lang w:eastAsia="en-AU"/>
              </w:rPr>
              <w:t xml:space="preserve">emote </w:t>
            </w:r>
            <w:r w:rsidR="008C3D9C" w:rsidRPr="00E82D87">
              <w:rPr>
                <w:rFonts w:cstheme="minorHAnsi"/>
                <w:lang w:eastAsia="en-AU"/>
              </w:rPr>
              <w:t>U</w:t>
            </w:r>
            <w:r w:rsidR="00890176">
              <w:rPr>
                <w:rFonts w:cstheme="minorHAnsi"/>
                <w:lang w:eastAsia="en-AU"/>
              </w:rPr>
              <w:t xml:space="preserve">nderwater </w:t>
            </w:r>
            <w:r w:rsidR="008C3D9C" w:rsidRPr="00E82D87">
              <w:rPr>
                <w:rFonts w:cstheme="minorHAnsi"/>
                <w:lang w:eastAsia="en-AU"/>
              </w:rPr>
              <w:t>V</w:t>
            </w:r>
            <w:r w:rsidR="00890176">
              <w:rPr>
                <w:rFonts w:cstheme="minorHAnsi"/>
                <w:lang w:eastAsia="en-AU"/>
              </w:rPr>
              <w:t xml:space="preserve">ideo </w:t>
            </w:r>
            <w:r w:rsidR="008C3D9C" w:rsidRPr="00E82D87">
              <w:rPr>
                <w:rFonts w:cstheme="minorHAnsi"/>
                <w:lang w:eastAsia="en-AU"/>
              </w:rPr>
              <w:t>S</w:t>
            </w:r>
            <w:r w:rsidR="00890176">
              <w:rPr>
                <w:rFonts w:cstheme="minorHAnsi"/>
                <w:lang w:eastAsia="en-AU"/>
              </w:rPr>
              <w:t xml:space="preserve">ystems (BRUVS) </w:t>
            </w:r>
            <w:r w:rsidR="008C3D9C" w:rsidRPr="00E82D87">
              <w:rPr>
                <w:rFonts w:cstheme="minorHAnsi"/>
                <w:lang w:eastAsia="en-AU"/>
              </w:rPr>
              <w:t xml:space="preserve">be used in parallel to enable further study and refinement of </w:t>
            </w:r>
            <w:r w:rsidR="008C3D9C" w:rsidRPr="00E82D87">
              <w:rPr>
                <w:rFonts w:cstheme="minorHAnsi"/>
                <w:lang w:eastAsia="en-AU"/>
              </w:rPr>
              <w:lastRenderedPageBreak/>
              <w:t>this non-extractive technique, and its effectiveness and comparability to auto</w:t>
            </w:r>
            <w:r w:rsidR="00020905" w:rsidRPr="00E82D87">
              <w:rPr>
                <w:rFonts w:cstheme="minorHAnsi"/>
                <w:lang w:eastAsia="en-AU"/>
              </w:rPr>
              <w:t>-</w:t>
            </w:r>
            <w:r w:rsidR="008C3D9C" w:rsidRPr="00E82D87">
              <w:rPr>
                <w:rFonts w:cstheme="minorHAnsi"/>
                <w:lang w:eastAsia="en-AU"/>
              </w:rPr>
              <w:t>longline catches.</w:t>
            </w:r>
          </w:p>
          <w:p w14:paraId="74DB36B1" w14:textId="77777777" w:rsidR="008C3D9C" w:rsidRPr="00E82D87" w:rsidRDefault="008C3D9C" w:rsidP="005B573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eastAsia="en-AU"/>
              </w:rPr>
            </w:pPr>
          </w:p>
          <w:p w14:paraId="15835125" w14:textId="5E5E0180" w:rsidR="00B92CF5" w:rsidRPr="00E82D87" w:rsidRDefault="008C3D9C" w:rsidP="00F279F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eastAsia="en-AU"/>
              </w:rPr>
            </w:pPr>
            <w:r w:rsidRPr="00E82D87">
              <w:rPr>
                <w:rFonts w:cstheme="minorHAnsi"/>
                <w:lang w:eastAsia="en-AU"/>
              </w:rPr>
              <w:t xml:space="preserve">Follow-up surveys every ten years will </w:t>
            </w:r>
            <w:r w:rsidR="00B92CF5" w:rsidRPr="00E82D87">
              <w:rPr>
                <w:rFonts w:cstheme="minorHAnsi"/>
                <w:lang w:eastAsia="en-AU"/>
              </w:rPr>
              <w:t xml:space="preserve">underpin a long-term monitoring plan to measure the relative abundance and recovery of </w:t>
            </w:r>
            <w:r w:rsidRPr="00E82D87">
              <w:rPr>
                <w:rFonts w:cstheme="minorHAnsi"/>
                <w:lang w:eastAsia="en-AU"/>
              </w:rPr>
              <w:t>these species. The ten year interval for surveys reflects the long time period for recovery and also aim</w:t>
            </w:r>
            <w:r w:rsidR="00744D65" w:rsidRPr="00E82D87">
              <w:rPr>
                <w:rFonts w:cstheme="minorHAnsi"/>
                <w:lang w:eastAsia="en-AU"/>
              </w:rPr>
              <w:t>s</w:t>
            </w:r>
            <w:r w:rsidRPr="00E82D87">
              <w:rPr>
                <w:rFonts w:cstheme="minorHAnsi"/>
                <w:lang w:eastAsia="en-AU"/>
              </w:rPr>
              <w:t xml:space="preserve"> to minimise </w:t>
            </w:r>
            <w:r w:rsidR="00F279F7">
              <w:rPr>
                <w:rFonts w:cstheme="minorHAnsi"/>
                <w:lang w:eastAsia="en-AU"/>
              </w:rPr>
              <w:t>survey-related mortality.</w:t>
            </w:r>
          </w:p>
        </w:tc>
        <w:tc>
          <w:tcPr>
            <w:tcW w:w="1169" w:type="pct"/>
            <w:shd w:val="clear" w:color="auto" w:fill="auto"/>
          </w:tcPr>
          <w:p w14:paraId="7937D7BF" w14:textId="3A3E92D8" w:rsidR="00632086" w:rsidRPr="00E82D87" w:rsidRDefault="00B92CF5" w:rsidP="005B5736">
            <w:pPr>
              <w:spacing w:before="240"/>
              <w:rPr>
                <w:rFonts w:cstheme="minorHAnsi"/>
              </w:rPr>
            </w:pPr>
            <w:r w:rsidRPr="00E82D87">
              <w:rPr>
                <w:rFonts w:cstheme="minorHAnsi"/>
              </w:rPr>
              <w:lastRenderedPageBreak/>
              <w:t>High</w:t>
            </w:r>
            <w:r w:rsidR="00F50F5D" w:rsidRPr="00E82D87">
              <w:rPr>
                <w:rFonts w:cstheme="minorHAnsi"/>
              </w:rPr>
              <w:t xml:space="preserve"> </w:t>
            </w:r>
            <w:r w:rsidR="00F279F7" w:rsidRPr="00E82D87">
              <w:rPr>
                <w:rFonts w:cstheme="minorHAnsi"/>
              </w:rPr>
              <w:t>p</w:t>
            </w:r>
            <w:r w:rsidR="00F50F5D" w:rsidRPr="00E82D87">
              <w:rPr>
                <w:rFonts w:cstheme="minorHAnsi"/>
              </w:rPr>
              <w:t xml:space="preserve">riority, </w:t>
            </w:r>
            <w:r w:rsidR="00632086" w:rsidRPr="00E82D87">
              <w:rPr>
                <w:rFonts w:cstheme="minorHAnsi"/>
              </w:rPr>
              <w:t>high cost</w:t>
            </w:r>
            <w:r w:rsidR="008C3D9C" w:rsidRPr="00E82D87">
              <w:rPr>
                <w:rFonts w:cstheme="minorHAnsi"/>
              </w:rPr>
              <w:t xml:space="preserve"> at</w:t>
            </w:r>
            <w:r w:rsidR="008C3D9C" w:rsidRPr="00E82D87">
              <w:rPr>
                <w:rFonts w:cstheme="minorHAnsi"/>
              </w:rPr>
              <w:br/>
            </w:r>
            <w:r w:rsidR="00632086" w:rsidRPr="00E82D87">
              <w:rPr>
                <w:rFonts w:cstheme="minorHAnsi"/>
              </w:rPr>
              <w:t xml:space="preserve"> ~ $400 000</w:t>
            </w:r>
            <w:r w:rsidR="00537A51" w:rsidRPr="00E82D87">
              <w:rPr>
                <w:rFonts w:cstheme="minorHAnsi"/>
              </w:rPr>
              <w:t xml:space="preserve"> (per survey)</w:t>
            </w:r>
            <w:r w:rsidR="00632086" w:rsidRPr="00E82D87">
              <w:rPr>
                <w:rFonts w:cstheme="minorHAnsi"/>
              </w:rPr>
              <w:t>.</w:t>
            </w:r>
            <w:r w:rsidR="00F50F5D" w:rsidRPr="00E82D87">
              <w:rPr>
                <w:rFonts w:cstheme="minorHAnsi"/>
              </w:rPr>
              <w:t xml:space="preserve"> </w:t>
            </w:r>
          </w:p>
          <w:p w14:paraId="69CCB4E8" w14:textId="0EA6B58D" w:rsidR="00B92CF5" w:rsidRPr="00E82D87" w:rsidRDefault="00B92CF5" w:rsidP="005B5736">
            <w:pPr>
              <w:spacing w:before="240"/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 </w:t>
            </w:r>
          </w:p>
        </w:tc>
        <w:tc>
          <w:tcPr>
            <w:tcW w:w="784" w:type="pct"/>
          </w:tcPr>
          <w:p w14:paraId="0C982A5E" w14:textId="7F28A4FA" w:rsidR="00637A73" w:rsidRPr="00E82D87" w:rsidRDefault="00637A73" w:rsidP="005B5736">
            <w:pPr>
              <w:spacing w:before="240"/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Project scope for the first survey has been submitted for FRDC </w:t>
            </w:r>
            <w:r w:rsidR="00020905" w:rsidRPr="00E82D87">
              <w:rPr>
                <w:rFonts w:cstheme="minorHAnsi"/>
              </w:rPr>
              <w:t xml:space="preserve">potential </w:t>
            </w:r>
            <w:r w:rsidRPr="00E82D87">
              <w:rPr>
                <w:rFonts w:cstheme="minorHAnsi"/>
              </w:rPr>
              <w:t xml:space="preserve">funding in 2021-22. </w:t>
            </w:r>
          </w:p>
          <w:p w14:paraId="33A40545" w14:textId="1A1E74D5" w:rsidR="00B92CF5" w:rsidRPr="00E82D87" w:rsidRDefault="00637A73" w:rsidP="005B5736">
            <w:pPr>
              <w:spacing w:before="240"/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Subsequent surveys will be undertaken every ten years. </w:t>
            </w:r>
          </w:p>
        </w:tc>
      </w:tr>
      <w:tr w:rsidR="00B92CF5" w:rsidRPr="00E82D87" w14:paraId="04BC9B42" w14:textId="366AF3F8" w:rsidTr="00B92CF5">
        <w:tc>
          <w:tcPr>
            <w:tcW w:w="859" w:type="pct"/>
            <w:shd w:val="clear" w:color="auto" w:fill="auto"/>
          </w:tcPr>
          <w:p w14:paraId="0ECAAA45" w14:textId="71C02E06" w:rsidR="00B92CF5" w:rsidRPr="00E82D87" w:rsidRDefault="00B92CF5" w:rsidP="009002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 xml:space="preserve">Area of occupancy (‘distribution’) </w:t>
            </w:r>
          </w:p>
        </w:tc>
        <w:tc>
          <w:tcPr>
            <w:tcW w:w="809" w:type="pct"/>
            <w:shd w:val="clear" w:color="auto" w:fill="auto"/>
          </w:tcPr>
          <w:p w14:paraId="0FF2C79A" w14:textId="77777777" w:rsidR="00B92CF5" w:rsidRPr="00E82D87" w:rsidRDefault="00B92CF5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Expanding </w:t>
            </w:r>
          </w:p>
        </w:tc>
        <w:tc>
          <w:tcPr>
            <w:tcW w:w="1379" w:type="pct"/>
            <w:shd w:val="clear" w:color="auto" w:fill="auto"/>
          </w:tcPr>
          <w:p w14:paraId="6508E147" w14:textId="3FAA1474" w:rsidR="00125992" w:rsidRPr="00E82D87" w:rsidRDefault="00125992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 specific project - additional data collection is required to establish a baseline area of occupancy. There is a potential to collect some data as part of the ‘Option 1a’ project. </w:t>
            </w:r>
          </w:p>
          <w:p w14:paraId="169C2503" w14:textId="306CEBA7" w:rsidR="00B92CF5" w:rsidRPr="00E82D87" w:rsidRDefault="00B92CF5" w:rsidP="00900258">
            <w:pPr>
              <w:rPr>
                <w:rFonts w:cstheme="minorHAnsi"/>
              </w:rPr>
            </w:pPr>
          </w:p>
        </w:tc>
        <w:tc>
          <w:tcPr>
            <w:tcW w:w="1169" w:type="pct"/>
            <w:shd w:val="clear" w:color="auto" w:fill="auto"/>
          </w:tcPr>
          <w:p w14:paraId="7F4492B1" w14:textId="159E03ED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Moderate</w:t>
            </w:r>
          </w:p>
        </w:tc>
        <w:tc>
          <w:tcPr>
            <w:tcW w:w="784" w:type="pct"/>
          </w:tcPr>
          <w:p w14:paraId="401E4B02" w14:textId="115648E2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None specified for a specific project. </w:t>
            </w:r>
          </w:p>
        </w:tc>
      </w:tr>
      <w:tr w:rsidR="00B92CF5" w:rsidRPr="00E82D87" w14:paraId="51FE3C8F" w14:textId="6530645D" w:rsidTr="00B92CF5">
        <w:tc>
          <w:tcPr>
            <w:tcW w:w="859" w:type="pct"/>
            <w:shd w:val="clear" w:color="auto" w:fill="auto"/>
          </w:tcPr>
          <w:p w14:paraId="529CF417" w14:textId="0F0DA351" w:rsidR="00B92CF5" w:rsidRPr="00E82D87" w:rsidRDefault="00B92CF5" w:rsidP="009002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 xml:space="preserve">Size (age) composition </w:t>
            </w:r>
          </w:p>
        </w:tc>
        <w:tc>
          <w:tcPr>
            <w:tcW w:w="809" w:type="pct"/>
            <w:shd w:val="clear" w:color="auto" w:fill="auto"/>
          </w:tcPr>
          <w:p w14:paraId="6A4CEA46" w14:textId="04B31113" w:rsidR="00B92CF5" w:rsidRPr="00E82D87" w:rsidRDefault="00125992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An increasing presence of </w:t>
            </w:r>
            <w:r w:rsidR="00B92CF5" w:rsidRPr="00E82D87">
              <w:rPr>
                <w:rFonts w:cstheme="minorHAnsi"/>
              </w:rPr>
              <w:t xml:space="preserve">juveniles </w:t>
            </w:r>
          </w:p>
        </w:tc>
        <w:tc>
          <w:tcPr>
            <w:tcW w:w="1379" w:type="pct"/>
            <w:shd w:val="clear" w:color="auto" w:fill="auto"/>
          </w:tcPr>
          <w:p w14:paraId="3694C93D" w14:textId="16DA97AA" w:rsidR="00125992" w:rsidRPr="00E82D87" w:rsidRDefault="00125992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 specific project - there is a potential to collect some data as part of the ‘Option 1a’ project. </w:t>
            </w:r>
          </w:p>
          <w:p w14:paraId="23C46A0E" w14:textId="014E702F" w:rsidR="00B92CF5" w:rsidRPr="00E82D87" w:rsidRDefault="00B92CF5" w:rsidP="00900258">
            <w:pPr>
              <w:rPr>
                <w:rFonts w:cstheme="minorHAnsi"/>
              </w:rPr>
            </w:pPr>
          </w:p>
        </w:tc>
        <w:tc>
          <w:tcPr>
            <w:tcW w:w="1169" w:type="pct"/>
            <w:shd w:val="clear" w:color="auto" w:fill="auto"/>
          </w:tcPr>
          <w:p w14:paraId="412560C5" w14:textId="46A7B2A0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Moderate</w:t>
            </w:r>
          </w:p>
        </w:tc>
        <w:tc>
          <w:tcPr>
            <w:tcW w:w="784" w:type="pct"/>
          </w:tcPr>
          <w:p w14:paraId="0C873F6C" w14:textId="6B01A560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None specified for a specific project.</w:t>
            </w:r>
          </w:p>
        </w:tc>
      </w:tr>
      <w:tr w:rsidR="00B92CF5" w:rsidRPr="00E82D87" w14:paraId="3DCF19D7" w14:textId="3B98BA79" w:rsidTr="00B92CF5">
        <w:tc>
          <w:tcPr>
            <w:tcW w:w="859" w:type="pct"/>
            <w:shd w:val="clear" w:color="auto" w:fill="auto"/>
          </w:tcPr>
          <w:p w14:paraId="21660F5F" w14:textId="72F8779C" w:rsidR="00B92CF5" w:rsidRPr="00E82D87" w:rsidRDefault="00B92CF5" w:rsidP="009002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 xml:space="preserve">Sex composition </w:t>
            </w:r>
          </w:p>
        </w:tc>
        <w:tc>
          <w:tcPr>
            <w:tcW w:w="809" w:type="pct"/>
            <w:shd w:val="clear" w:color="auto" w:fill="auto"/>
          </w:tcPr>
          <w:p w14:paraId="636865AF" w14:textId="72DAB78D" w:rsidR="00B92CF5" w:rsidRPr="00E82D87" w:rsidRDefault="00125992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M</w:t>
            </w:r>
            <w:r w:rsidR="00B92CF5" w:rsidRPr="00E82D87">
              <w:rPr>
                <w:rFonts w:cstheme="minorHAnsi"/>
              </w:rPr>
              <w:t>ale</w:t>
            </w:r>
            <w:r w:rsidRPr="00E82D87">
              <w:rPr>
                <w:rFonts w:cstheme="minorHAnsi"/>
              </w:rPr>
              <w:t>s</w:t>
            </w:r>
            <w:r w:rsidR="00B92CF5" w:rsidRPr="00E82D87">
              <w:rPr>
                <w:rFonts w:cstheme="minorHAnsi"/>
              </w:rPr>
              <w:t xml:space="preserve"> and female</w:t>
            </w:r>
            <w:r w:rsidRPr="00E82D87">
              <w:rPr>
                <w:rFonts w:cstheme="minorHAnsi"/>
              </w:rPr>
              <w:t>s</w:t>
            </w:r>
            <w:r w:rsidR="00B92CF5" w:rsidRPr="00E82D87">
              <w:rPr>
                <w:rFonts w:cstheme="minorHAnsi"/>
              </w:rPr>
              <w:t xml:space="preserve"> </w:t>
            </w:r>
            <w:r w:rsidRPr="00E82D87">
              <w:rPr>
                <w:rFonts w:cstheme="minorHAnsi"/>
              </w:rPr>
              <w:t>observed together</w:t>
            </w:r>
            <w:r w:rsidR="00B92CF5" w:rsidRPr="00E82D87">
              <w:rPr>
                <w:rFonts w:cstheme="minorHAnsi"/>
              </w:rPr>
              <w:t xml:space="preserve"> for breeding </w:t>
            </w:r>
            <w:r w:rsidR="00444E43" w:rsidRPr="00E82D87">
              <w:rPr>
                <w:rFonts w:cstheme="minorHAnsi"/>
              </w:rPr>
              <w:t>(the sexes are known to occur separately at other times)</w:t>
            </w:r>
          </w:p>
        </w:tc>
        <w:tc>
          <w:tcPr>
            <w:tcW w:w="1379" w:type="pct"/>
            <w:shd w:val="clear" w:color="auto" w:fill="auto"/>
          </w:tcPr>
          <w:p w14:paraId="627E1DC5" w14:textId="77777777" w:rsidR="00444E43" w:rsidRPr="00E82D87" w:rsidRDefault="00444E43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 specific project - there is a potential to collect some data as part of the ‘Option 1a’ project. </w:t>
            </w:r>
          </w:p>
          <w:p w14:paraId="3711D0ED" w14:textId="36C238D5" w:rsidR="00B92CF5" w:rsidRPr="00E82D87" w:rsidRDefault="00B92CF5" w:rsidP="00900258">
            <w:pPr>
              <w:rPr>
                <w:rFonts w:cstheme="minorHAnsi"/>
              </w:rPr>
            </w:pPr>
          </w:p>
        </w:tc>
        <w:tc>
          <w:tcPr>
            <w:tcW w:w="1169" w:type="pct"/>
            <w:shd w:val="clear" w:color="auto" w:fill="auto"/>
          </w:tcPr>
          <w:p w14:paraId="4188F295" w14:textId="472AF903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Moderate</w:t>
            </w:r>
          </w:p>
        </w:tc>
        <w:tc>
          <w:tcPr>
            <w:tcW w:w="784" w:type="pct"/>
          </w:tcPr>
          <w:p w14:paraId="6D367C2F" w14:textId="39325667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None specified for a specific project.</w:t>
            </w:r>
          </w:p>
        </w:tc>
      </w:tr>
      <w:tr w:rsidR="00B92CF5" w:rsidRPr="00E82D87" w14:paraId="003BCE43" w14:textId="5E471B2C" w:rsidTr="00B92CF5">
        <w:tc>
          <w:tcPr>
            <w:tcW w:w="859" w:type="pct"/>
            <w:shd w:val="clear" w:color="auto" w:fill="auto"/>
          </w:tcPr>
          <w:p w14:paraId="4D1F3388" w14:textId="5756F348" w:rsidR="00B92CF5" w:rsidRPr="00E82D87" w:rsidRDefault="00B92CF5" w:rsidP="009002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lastRenderedPageBreak/>
              <w:t xml:space="preserve">Catch and distribution in commercial bycatch </w:t>
            </w:r>
          </w:p>
        </w:tc>
        <w:tc>
          <w:tcPr>
            <w:tcW w:w="809" w:type="pct"/>
            <w:shd w:val="clear" w:color="auto" w:fill="auto"/>
          </w:tcPr>
          <w:p w14:paraId="4108CDDC" w14:textId="569FB1D1" w:rsidR="00B92CF5" w:rsidRPr="00E82D87" w:rsidRDefault="00B92CF5" w:rsidP="00D7786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Increasing </w:t>
            </w:r>
            <w:r w:rsidR="00444E43" w:rsidRPr="00E82D87">
              <w:rPr>
                <w:rFonts w:cstheme="minorHAnsi"/>
              </w:rPr>
              <w:t xml:space="preserve">captures and spatial expansion of captures </w:t>
            </w:r>
            <w:r w:rsidRPr="00E82D87">
              <w:rPr>
                <w:rFonts w:cstheme="minorHAnsi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</w:tcPr>
          <w:p w14:paraId="09CE4884" w14:textId="7791E895" w:rsidR="00B92CF5" w:rsidRPr="00E82D87" w:rsidRDefault="00444E43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This is monitored through fishery dependent data.  There are ongoing challenges regarding rapid identification between </w:t>
            </w:r>
            <w:r w:rsidR="00EC3BE2" w:rsidRPr="00E82D87">
              <w:rPr>
                <w:rFonts w:cstheme="minorHAnsi"/>
              </w:rPr>
              <w:t xml:space="preserve">Harrisson’s and </w:t>
            </w:r>
            <w:r w:rsidR="00F279F7" w:rsidRPr="00E82D87">
              <w:rPr>
                <w:rFonts w:cstheme="minorHAnsi"/>
              </w:rPr>
              <w:t>s</w:t>
            </w:r>
            <w:r w:rsidR="00692E90" w:rsidRPr="00E82D87">
              <w:rPr>
                <w:rFonts w:cstheme="minorHAnsi"/>
              </w:rPr>
              <w:t xml:space="preserve">outhern </w:t>
            </w:r>
            <w:r w:rsidR="00EC3BE2" w:rsidRPr="00E82D87">
              <w:rPr>
                <w:rFonts w:cstheme="minorHAnsi"/>
              </w:rPr>
              <w:t xml:space="preserve">dogfish </w:t>
            </w:r>
            <w:r w:rsidRPr="00E82D87">
              <w:rPr>
                <w:rFonts w:cstheme="minorHAnsi"/>
              </w:rPr>
              <w:t>and the rules regarding handling practices aimed at maximising survivability</w:t>
            </w:r>
            <w:r w:rsidR="00692E90" w:rsidRPr="00E82D87">
              <w:rPr>
                <w:rFonts w:cstheme="minorHAnsi"/>
              </w:rPr>
              <w:t>,</w:t>
            </w:r>
            <w:r w:rsidRPr="00E82D87">
              <w:rPr>
                <w:rFonts w:cstheme="minorHAnsi"/>
              </w:rPr>
              <w:t xml:space="preserve"> specified in the Strategy impact the accuracy of fishery dependent data at this point in time.  </w:t>
            </w:r>
          </w:p>
        </w:tc>
        <w:tc>
          <w:tcPr>
            <w:tcW w:w="1169" w:type="pct"/>
            <w:shd w:val="clear" w:color="auto" w:fill="auto"/>
          </w:tcPr>
          <w:p w14:paraId="49C0B064" w14:textId="7BDD8CA4" w:rsidR="00B92CF5" w:rsidRPr="00E82D87" w:rsidRDefault="00B92CF5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 </w:t>
            </w:r>
            <w:r w:rsidR="0097565A" w:rsidRPr="00E82D87">
              <w:rPr>
                <w:rFonts w:cstheme="minorHAnsi"/>
              </w:rPr>
              <w:t>Moderate</w:t>
            </w:r>
          </w:p>
        </w:tc>
        <w:tc>
          <w:tcPr>
            <w:tcW w:w="784" w:type="pct"/>
          </w:tcPr>
          <w:p w14:paraId="68EA49D0" w14:textId="67B313BD" w:rsidR="00B92CF5" w:rsidRPr="00E82D87" w:rsidRDefault="00F862A4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Ongoing requirement to report in logbooks and verified via on-board observers/electronic monitoring </w:t>
            </w:r>
          </w:p>
        </w:tc>
      </w:tr>
      <w:tr w:rsidR="00B92CF5" w:rsidRPr="00E82D87" w14:paraId="5BBF107A" w14:textId="7F1EA0CD" w:rsidTr="00B92CF5">
        <w:tc>
          <w:tcPr>
            <w:tcW w:w="859" w:type="pct"/>
            <w:shd w:val="clear" w:color="auto" w:fill="auto"/>
          </w:tcPr>
          <w:p w14:paraId="1164A354" w14:textId="0813B6EE" w:rsidR="00B92CF5" w:rsidRPr="00E82D87" w:rsidRDefault="00B92CF5" w:rsidP="009002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 xml:space="preserve">Genetic measures of connectivity and stock structure </w:t>
            </w:r>
          </w:p>
        </w:tc>
        <w:tc>
          <w:tcPr>
            <w:tcW w:w="809" w:type="pct"/>
            <w:shd w:val="clear" w:color="auto" w:fill="auto"/>
          </w:tcPr>
          <w:p w14:paraId="5CDA8FD4" w14:textId="77777777" w:rsidR="00B92CF5" w:rsidRPr="00E82D87" w:rsidRDefault="00B92CF5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Increasing complexity </w:t>
            </w:r>
          </w:p>
        </w:tc>
        <w:tc>
          <w:tcPr>
            <w:tcW w:w="1379" w:type="pct"/>
            <w:shd w:val="clear" w:color="auto" w:fill="auto"/>
          </w:tcPr>
          <w:p w14:paraId="6C167205" w14:textId="007DF841" w:rsidR="00160FB5" w:rsidRPr="00E82D87" w:rsidRDefault="00160FB5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 specific project - there is a potential to collect some data as part of the ‘Option 1a’ project.  </w:t>
            </w:r>
          </w:p>
          <w:p w14:paraId="0EBE6FE1" w14:textId="77777777" w:rsidR="00B92CF5" w:rsidRPr="00E82D87" w:rsidRDefault="00B92CF5" w:rsidP="00900258">
            <w:pPr>
              <w:rPr>
                <w:rFonts w:cstheme="minorHAnsi"/>
              </w:rPr>
            </w:pPr>
          </w:p>
        </w:tc>
        <w:tc>
          <w:tcPr>
            <w:tcW w:w="1169" w:type="pct"/>
            <w:shd w:val="clear" w:color="auto" w:fill="auto"/>
          </w:tcPr>
          <w:p w14:paraId="3AD6C136" w14:textId="3038BA36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>Moderate</w:t>
            </w:r>
          </w:p>
        </w:tc>
        <w:tc>
          <w:tcPr>
            <w:tcW w:w="784" w:type="pct"/>
          </w:tcPr>
          <w:p w14:paraId="550BDC6C" w14:textId="0B4C87CE" w:rsidR="00B92CF5" w:rsidRPr="00E82D87" w:rsidRDefault="0097565A" w:rsidP="00FE660E">
            <w:pPr>
              <w:rPr>
                <w:rFonts w:cstheme="minorHAnsi"/>
              </w:rPr>
            </w:pPr>
            <w:r w:rsidRPr="00E82D87">
              <w:rPr>
                <w:rFonts w:cstheme="minorHAnsi"/>
              </w:rPr>
              <w:t xml:space="preserve">None specified for a specific project. </w:t>
            </w:r>
          </w:p>
        </w:tc>
      </w:tr>
    </w:tbl>
    <w:p w14:paraId="6D637724" w14:textId="77777777" w:rsidR="00F74459" w:rsidRPr="00E82D87" w:rsidRDefault="00F74459" w:rsidP="00606C4B">
      <w:pPr>
        <w:rPr>
          <w:rFonts w:cstheme="minorHAnsi"/>
        </w:rPr>
      </w:pPr>
    </w:p>
    <w:p w14:paraId="11746F36" w14:textId="7961BA44" w:rsidR="00EC0024" w:rsidRPr="00E82D87" w:rsidRDefault="00EC0024" w:rsidP="00EC0024">
      <w:pPr>
        <w:rPr>
          <w:rFonts w:cstheme="minorHAnsi"/>
        </w:rPr>
      </w:pPr>
    </w:p>
    <w:p w14:paraId="3533BF76" w14:textId="1D44D5FB" w:rsidR="005B5736" w:rsidRPr="00E82D87" w:rsidRDefault="005B5736" w:rsidP="00EC0024">
      <w:pPr>
        <w:rPr>
          <w:rFonts w:cstheme="minorHAnsi"/>
        </w:rPr>
      </w:pPr>
    </w:p>
    <w:p w14:paraId="74D1B5ED" w14:textId="2C3D4AB2" w:rsidR="005B5736" w:rsidRPr="00E82D87" w:rsidRDefault="005B5736" w:rsidP="00EC0024">
      <w:pPr>
        <w:rPr>
          <w:rFonts w:cstheme="minorHAnsi"/>
        </w:rPr>
      </w:pPr>
    </w:p>
    <w:p w14:paraId="46676368" w14:textId="77777777" w:rsidR="005B5736" w:rsidRPr="00E82D87" w:rsidRDefault="005B5736" w:rsidP="00EC0024">
      <w:pPr>
        <w:rPr>
          <w:rFonts w:cstheme="minorHAnsi"/>
        </w:rPr>
      </w:pPr>
    </w:p>
    <w:tbl>
      <w:tblPr>
        <w:tblW w:w="493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4587"/>
        <w:gridCol w:w="1893"/>
        <w:gridCol w:w="1964"/>
        <w:gridCol w:w="1873"/>
      </w:tblGrid>
      <w:tr w:rsidR="007F21A1" w:rsidRPr="00E82D87" w14:paraId="6DEF5F94" w14:textId="77777777" w:rsidTr="005B5736">
        <w:tc>
          <w:tcPr>
            <w:tcW w:w="5000" w:type="pct"/>
            <w:gridSpan w:val="5"/>
            <w:shd w:val="clear" w:color="auto" w:fill="9CC2E5" w:themeFill="accent1" w:themeFillTint="99"/>
          </w:tcPr>
          <w:p w14:paraId="0AAB6FDE" w14:textId="1202A9AE" w:rsidR="007F21A1" w:rsidRPr="00E82D87" w:rsidRDefault="001444CC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Table 2. </w:t>
            </w:r>
            <w:r w:rsidR="007F21A1" w:rsidRPr="00E82D87">
              <w:rPr>
                <w:rFonts w:cstheme="minorHAnsi"/>
                <w:b/>
              </w:rPr>
              <w:t>C</w:t>
            </w:r>
            <w:r w:rsidR="00F50F5D" w:rsidRPr="00E82D87">
              <w:rPr>
                <w:rFonts w:cstheme="minorHAnsi"/>
                <w:b/>
              </w:rPr>
              <w:t xml:space="preserve">URRENT FUNDED PROJECTS </w:t>
            </w:r>
          </w:p>
        </w:tc>
      </w:tr>
      <w:tr w:rsidR="00EC0024" w:rsidRPr="00E82D87" w14:paraId="15D309F7" w14:textId="77777777" w:rsidTr="005B5736">
        <w:tc>
          <w:tcPr>
            <w:tcW w:w="1255" w:type="pct"/>
            <w:vMerge w:val="restart"/>
            <w:shd w:val="clear" w:color="auto" w:fill="9CC2E5" w:themeFill="accent1" w:themeFillTint="99"/>
          </w:tcPr>
          <w:p w14:paraId="3ADB1B19" w14:textId="77777777" w:rsidR="00EC0024" w:rsidRPr="00E82D87" w:rsidRDefault="00EC0024" w:rsidP="00EC0024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Project Title</w:t>
            </w:r>
          </w:p>
        </w:tc>
        <w:tc>
          <w:tcPr>
            <w:tcW w:w="1665" w:type="pct"/>
            <w:vMerge w:val="restart"/>
            <w:shd w:val="clear" w:color="auto" w:fill="9CC2E5" w:themeFill="accent1" w:themeFillTint="99"/>
          </w:tcPr>
          <w:p w14:paraId="02AB5591" w14:textId="77777777" w:rsidR="00EC0024" w:rsidRPr="00E82D87" w:rsidRDefault="001814D3" w:rsidP="001814D3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Outputs and Performance Indicators</w:t>
            </w:r>
          </w:p>
        </w:tc>
        <w:tc>
          <w:tcPr>
            <w:tcW w:w="2080" w:type="pct"/>
            <w:gridSpan w:val="3"/>
            <w:shd w:val="clear" w:color="auto" w:fill="9CC2E5" w:themeFill="accent1" w:themeFillTint="99"/>
          </w:tcPr>
          <w:p w14:paraId="01FE5A18" w14:textId="77777777" w:rsidR="00EC0024" w:rsidRPr="00E82D87" w:rsidRDefault="00EC0024" w:rsidP="00C36EF5">
            <w:pPr>
              <w:spacing w:before="240"/>
              <w:jc w:val="center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Evaluation</w:t>
            </w:r>
          </w:p>
        </w:tc>
      </w:tr>
      <w:tr w:rsidR="00474014" w:rsidRPr="00E82D87" w14:paraId="695CD455" w14:textId="77777777" w:rsidTr="005B5736">
        <w:tc>
          <w:tcPr>
            <w:tcW w:w="1255" w:type="pct"/>
            <w:vMerge/>
            <w:shd w:val="clear" w:color="auto" w:fill="9CC2E5" w:themeFill="accent1" w:themeFillTint="99"/>
          </w:tcPr>
          <w:p w14:paraId="5C31F887" w14:textId="77777777" w:rsidR="00EC0024" w:rsidRPr="00E82D87" w:rsidRDefault="00EC0024" w:rsidP="00C36EF5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665" w:type="pct"/>
            <w:vMerge/>
            <w:shd w:val="clear" w:color="auto" w:fill="9CC2E5" w:themeFill="accent1" w:themeFillTint="99"/>
          </w:tcPr>
          <w:p w14:paraId="04184748" w14:textId="77777777" w:rsidR="00EC0024" w:rsidRPr="00E82D87" w:rsidRDefault="00EC0024" w:rsidP="00C36EF5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687" w:type="pct"/>
            <w:shd w:val="clear" w:color="auto" w:fill="9CC2E5" w:themeFill="accent1" w:themeFillTint="99"/>
          </w:tcPr>
          <w:p w14:paraId="32733633" w14:textId="77777777" w:rsidR="00EC0024" w:rsidRPr="00E82D87" w:rsidRDefault="00474014" w:rsidP="00C36EF5">
            <w:pPr>
              <w:spacing w:before="240"/>
              <w:jc w:val="center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Alignment with Strategy</w:t>
            </w:r>
          </w:p>
        </w:tc>
        <w:tc>
          <w:tcPr>
            <w:tcW w:w="713" w:type="pct"/>
            <w:shd w:val="clear" w:color="auto" w:fill="9CC2E5" w:themeFill="accent1" w:themeFillTint="99"/>
          </w:tcPr>
          <w:p w14:paraId="08F32057" w14:textId="77777777" w:rsidR="00EC0024" w:rsidRPr="00E82D87" w:rsidRDefault="00474014" w:rsidP="00C36EF5">
            <w:pPr>
              <w:spacing w:before="240"/>
              <w:jc w:val="center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Total cost (approx. only)</w:t>
            </w:r>
          </w:p>
          <w:p w14:paraId="722C6CF7" w14:textId="77777777" w:rsidR="00EC0024" w:rsidRPr="00E82D87" w:rsidRDefault="00EC0024" w:rsidP="00C36EF5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680" w:type="pct"/>
            <w:shd w:val="clear" w:color="auto" w:fill="9CC2E5" w:themeFill="accent1" w:themeFillTint="99"/>
          </w:tcPr>
          <w:p w14:paraId="2D5D24E3" w14:textId="77777777" w:rsidR="00EC0024" w:rsidRPr="00E82D87" w:rsidRDefault="00D15E86" w:rsidP="00C36EF5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lastRenderedPageBreak/>
              <w:t>Project Completion</w:t>
            </w:r>
          </w:p>
        </w:tc>
      </w:tr>
      <w:tr w:rsidR="00474014" w:rsidRPr="00E82D87" w14:paraId="1874BC22" w14:textId="77777777" w:rsidTr="007F21A1">
        <w:tc>
          <w:tcPr>
            <w:tcW w:w="1255" w:type="pct"/>
            <w:shd w:val="clear" w:color="auto" w:fill="auto"/>
          </w:tcPr>
          <w:p w14:paraId="39579605" w14:textId="705D3BD8" w:rsidR="00EC0024" w:rsidRPr="00E82D87" w:rsidRDefault="001444CC" w:rsidP="00C36EF5">
            <w:pPr>
              <w:spacing w:before="40" w:after="40"/>
              <w:rPr>
                <w:rFonts w:cstheme="minorHAnsi"/>
                <w:b/>
              </w:rPr>
            </w:pPr>
            <w:r w:rsidRPr="00E82D87">
              <w:rPr>
                <w:rFonts w:cstheme="minorHAnsi"/>
              </w:rPr>
              <w:t>NO CURRENT FUNDED PROJECTS</w:t>
            </w:r>
          </w:p>
        </w:tc>
        <w:tc>
          <w:tcPr>
            <w:tcW w:w="1665" w:type="pct"/>
            <w:shd w:val="clear" w:color="auto" w:fill="auto"/>
          </w:tcPr>
          <w:p w14:paraId="7022FEC7" w14:textId="77777777" w:rsidR="00EC0024" w:rsidRPr="00E82D87" w:rsidRDefault="00EC0024" w:rsidP="00C36EF5">
            <w:pPr>
              <w:spacing w:before="240"/>
              <w:rPr>
                <w:rFonts w:cstheme="minorHAnsi"/>
              </w:rPr>
            </w:pPr>
          </w:p>
        </w:tc>
        <w:tc>
          <w:tcPr>
            <w:tcW w:w="687" w:type="pct"/>
            <w:shd w:val="clear" w:color="auto" w:fill="auto"/>
          </w:tcPr>
          <w:p w14:paraId="099504A5" w14:textId="77777777" w:rsidR="00EC0024" w:rsidRPr="00E82D87" w:rsidRDefault="00EC0024" w:rsidP="00C36EF5">
            <w:pPr>
              <w:tabs>
                <w:tab w:val="left" w:pos="299"/>
              </w:tabs>
              <w:spacing w:before="240"/>
              <w:rPr>
                <w:rFonts w:cstheme="minorHAnsi"/>
                <w:b/>
              </w:rPr>
            </w:pPr>
          </w:p>
        </w:tc>
        <w:tc>
          <w:tcPr>
            <w:tcW w:w="713" w:type="pct"/>
            <w:shd w:val="clear" w:color="auto" w:fill="auto"/>
          </w:tcPr>
          <w:p w14:paraId="34DFD43B" w14:textId="77777777" w:rsidR="00EC0024" w:rsidRPr="00E82D87" w:rsidRDefault="00EC0024" w:rsidP="00C36EF5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680" w:type="pct"/>
            <w:shd w:val="clear" w:color="auto" w:fill="auto"/>
          </w:tcPr>
          <w:p w14:paraId="09DDAE4F" w14:textId="77777777" w:rsidR="00EC0024" w:rsidRPr="00E82D87" w:rsidRDefault="00EC0024" w:rsidP="00C36EF5">
            <w:pPr>
              <w:spacing w:before="240"/>
              <w:jc w:val="center"/>
              <w:rPr>
                <w:rFonts w:cstheme="minorHAnsi"/>
              </w:rPr>
            </w:pPr>
          </w:p>
        </w:tc>
      </w:tr>
    </w:tbl>
    <w:p w14:paraId="4C9BE517" w14:textId="77777777" w:rsidR="00C41A27" w:rsidRPr="00E82D87" w:rsidRDefault="00C41A27" w:rsidP="00EC0024">
      <w:pPr>
        <w:rPr>
          <w:rFonts w:cstheme="minorHAnsi"/>
        </w:rPr>
      </w:pPr>
    </w:p>
    <w:tbl>
      <w:tblPr>
        <w:tblW w:w="492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8446"/>
        <w:gridCol w:w="1845"/>
      </w:tblGrid>
      <w:tr w:rsidR="0097565A" w:rsidRPr="00E82D87" w14:paraId="22358BA3" w14:textId="77777777" w:rsidTr="005B5736">
        <w:tc>
          <w:tcPr>
            <w:tcW w:w="5000" w:type="pct"/>
            <w:gridSpan w:val="3"/>
            <w:shd w:val="clear" w:color="auto" w:fill="9CC2E5" w:themeFill="accent1" w:themeFillTint="99"/>
          </w:tcPr>
          <w:p w14:paraId="58915387" w14:textId="204EE572" w:rsidR="0097565A" w:rsidRPr="00E82D87" w:rsidRDefault="0097565A" w:rsidP="005B5736">
            <w:pPr>
              <w:spacing w:before="2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 xml:space="preserve">Table 3. COMPLETED RESEARCH PROJECTS </w:t>
            </w:r>
          </w:p>
        </w:tc>
      </w:tr>
      <w:tr w:rsidR="0097565A" w:rsidRPr="00E82D87" w14:paraId="17F3360E" w14:textId="77777777" w:rsidTr="005B5736">
        <w:tc>
          <w:tcPr>
            <w:tcW w:w="1257" w:type="pct"/>
            <w:shd w:val="clear" w:color="auto" w:fill="9CC2E5" w:themeFill="accent1" w:themeFillTint="99"/>
          </w:tcPr>
          <w:p w14:paraId="4292A850" w14:textId="77777777" w:rsidR="0097565A" w:rsidRPr="00E82D87" w:rsidRDefault="0097565A" w:rsidP="00015E96">
            <w:pPr>
              <w:spacing w:before="40" w:after="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Project Title</w:t>
            </w:r>
          </w:p>
        </w:tc>
        <w:tc>
          <w:tcPr>
            <w:tcW w:w="3072" w:type="pct"/>
            <w:shd w:val="clear" w:color="auto" w:fill="9CC2E5" w:themeFill="accent1" w:themeFillTint="99"/>
          </w:tcPr>
          <w:p w14:paraId="0F4FDB9C" w14:textId="77777777" w:rsidR="0097565A" w:rsidRPr="00E82D87" w:rsidRDefault="0097565A" w:rsidP="00015E96">
            <w:pPr>
              <w:spacing w:before="40" w:after="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Key Outcomes</w:t>
            </w:r>
          </w:p>
        </w:tc>
        <w:tc>
          <w:tcPr>
            <w:tcW w:w="671" w:type="pct"/>
            <w:shd w:val="clear" w:color="auto" w:fill="9CC2E5" w:themeFill="accent1" w:themeFillTint="99"/>
          </w:tcPr>
          <w:p w14:paraId="3059E80F" w14:textId="77777777" w:rsidR="0097565A" w:rsidRPr="00E82D87" w:rsidRDefault="0097565A" w:rsidP="005B5736">
            <w:pPr>
              <w:spacing w:before="40" w:after="40"/>
              <w:rPr>
                <w:rFonts w:cstheme="minorHAnsi"/>
                <w:b/>
              </w:rPr>
            </w:pPr>
            <w:r w:rsidRPr="00E82D87">
              <w:rPr>
                <w:rFonts w:cstheme="minorHAnsi"/>
                <w:b/>
              </w:rPr>
              <w:t>Date Completed</w:t>
            </w:r>
          </w:p>
        </w:tc>
      </w:tr>
      <w:tr w:rsidR="0097565A" w:rsidRPr="00E82D87" w14:paraId="324FB050" w14:textId="77777777" w:rsidTr="005B5736">
        <w:tc>
          <w:tcPr>
            <w:tcW w:w="1257" w:type="pct"/>
            <w:shd w:val="clear" w:color="auto" w:fill="auto"/>
          </w:tcPr>
          <w:p w14:paraId="686D74F9" w14:textId="07219CB1" w:rsidR="0097565A" w:rsidRPr="00E82D87" w:rsidRDefault="0097565A" w:rsidP="00015E96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  <w:i/>
              </w:rPr>
              <w:t>“Research to support the upper</w:t>
            </w:r>
            <w:r w:rsidR="00E82D87" w:rsidRPr="00E82D87">
              <w:rPr>
                <w:rFonts w:cstheme="minorHAnsi"/>
                <w:i/>
              </w:rPr>
              <w:t>-</w:t>
            </w:r>
            <w:r w:rsidRPr="00E82D87">
              <w:rPr>
                <w:rFonts w:cstheme="minorHAnsi"/>
                <w:i/>
              </w:rPr>
              <w:t xml:space="preserve">slope dogfish management strategy: options for monitoring the recovery </w:t>
            </w:r>
            <w:r w:rsidR="00F279F7" w:rsidRPr="00E82D87">
              <w:rPr>
                <w:rFonts w:cstheme="minorHAnsi"/>
                <w:i/>
              </w:rPr>
              <w:t xml:space="preserve">of southern dogfish </w:t>
            </w:r>
            <w:r w:rsidRPr="00E82D87">
              <w:rPr>
                <w:rFonts w:cstheme="minorHAnsi"/>
                <w:i/>
              </w:rPr>
              <w:t xml:space="preserve">and Harrisson’s </w:t>
            </w:r>
            <w:r w:rsidR="00F279F7" w:rsidRPr="00E82D87">
              <w:rPr>
                <w:rFonts w:cstheme="minorHAnsi"/>
                <w:i/>
              </w:rPr>
              <w:t>d</w:t>
            </w:r>
            <w:r w:rsidRPr="00E82D87">
              <w:rPr>
                <w:rFonts w:cstheme="minorHAnsi"/>
                <w:i/>
              </w:rPr>
              <w:t>ogfish”</w:t>
            </w:r>
            <w:r w:rsidR="00C22BAD" w:rsidRPr="00E82D87">
              <w:rPr>
                <w:rFonts w:cstheme="minorHAnsi"/>
              </w:rPr>
              <w:t xml:space="preserve"> (Williams </w:t>
            </w:r>
            <w:r w:rsidR="00C22BAD" w:rsidRPr="006E1C84">
              <w:rPr>
                <w:rFonts w:cstheme="minorHAnsi"/>
              </w:rPr>
              <w:t>et al</w:t>
            </w:r>
            <w:r w:rsidR="00C22BAD" w:rsidRPr="00E82D87">
              <w:rPr>
                <w:rFonts w:cstheme="minorHAnsi"/>
              </w:rPr>
              <w:t>. 2018)</w:t>
            </w:r>
            <w:r w:rsidR="00BF671B" w:rsidRPr="00E82D87">
              <w:rPr>
                <w:rFonts w:cstheme="minorHAnsi"/>
              </w:rPr>
              <w:t>.</w:t>
            </w:r>
          </w:p>
        </w:tc>
        <w:tc>
          <w:tcPr>
            <w:tcW w:w="3072" w:type="pct"/>
            <w:shd w:val="clear" w:color="auto" w:fill="auto"/>
          </w:tcPr>
          <w:p w14:paraId="4A2D7602" w14:textId="44407F9F" w:rsidR="0097565A" w:rsidRPr="00E82D87" w:rsidRDefault="00F41A47" w:rsidP="005B573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>A c</w:t>
            </w:r>
            <w:r w:rsidR="0097565A" w:rsidRPr="00E82D87">
              <w:rPr>
                <w:rFonts w:asciiTheme="minorHAnsi" w:hAnsiTheme="minorHAnsi" w:cstheme="minorHAnsi"/>
              </w:rPr>
              <w:t xml:space="preserve">ost effective </w:t>
            </w:r>
            <w:r w:rsidRPr="00E82D87">
              <w:rPr>
                <w:rFonts w:asciiTheme="minorHAnsi" w:hAnsiTheme="minorHAnsi" w:cstheme="minorHAnsi"/>
              </w:rPr>
              <w:t>m</w:t>
            </w:r>
            <w:r w:rsidR="0097565A" w:rsidRPr="00E82D87">
              <w:rPr>
                <w:rFonts w:asciiTheme="minorHAnsi" w:hAnsiTheme="minorHAnsi" w:cstheme="minorHAnsi"/>
              </w:rPr>
              <w:t xml:space="preserve">ethodology developed for measuring </w:t>
            </w:r>
            <w:r w:rsidRPr="00E82D87">
              <w:rPr>
                <w:rFonts w:asciiTheme="minorHAnsi" w:hAnsiTheme="minorHAnsi" w:cstheme="minorHAnsi"/>
              </w:rPr>
              <w:t xml:space="preserve">relative </w:t>
            </w:r>
            <w:r w:rsidR="0097565A" w:rsidRPr="00E82D87">
              <w:rPr>
                <w:rFonts w:asciiTheme="minorHAnsi" w:hAnsiTheme="minorHAnsi" w:cstheme="minorHAnsi"/>
              </w:rPr>
              <w:t>abundance of dogfish</w:t>
            </w:r>
          </w:p>
        </w:tc>
        <w:tc>
          <w:tcPr>
            <w:tcW w:w="671" w:type="pct"/>
            <w:shd w:val="clear" w:color="auto" w:fill="auto"/>
          </w:tcPr>
          <w:p w14:paraId="3AB05C99" w14:textId="0610796F" w:rsidR="0097565A" w:rsidRPr="00E82D87" w:rsidRDefault="0097565A" w:rsidP="005B5736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</w:rPr>
              <w:t>November 2018</w:t>
            </w:r>
            <w:r w:rsidR="005B5736" w:rsidRPr="00E82D87">
              <w:rPr>
                <w:rFonts w:cstheme="minorHAnsi"/>
              </w:rPr>
              <w:t xml:space="preserve"> (two year project)</w:t>
            </w:r>
          </w:p>
        </w:tc>
      </w:tr>
      <w:tr w:rsidR="0097565A" w:rsidRPr="00E82D87" w14:paraId="3EAF1C6E" w14:textId="77777777" w:rsidTr="005B5736">
        <w:tc>
          <w:tcPr>
            <w:tcW w:w="1257" w:type="pct"/>
            <w:shd w:val="clear" w:color="auto" w:fill="auto"/>
          </w:tcPr>
          <w:p w14:paraId="108AED7E" w14:textId="3E600C72" w:rsidR="0097565A" w:rsidRPr="00E82D87" w:rsidRDefault="0097565A" w:rsidP="00FF41C4">
            <w:pPr>
              <w:rPr>
                <w:rFonts w:cstheme="minorHAnsi"/>
              </w:rPr>
            </w:pPr>
            <w:r w:rsidRPr="00E82D87">
              <w:rPr>
                <w:rFonts w:cstheme="minorHAnsi"/>
                <w:i/>
              </w:rPr>
              <w:t xml:space="preserve">“Determining the distribution of gulper sharks on Australia’s eastern seamount chain and the selectivity of power handline fishing in regard to seamount populations of </w:t>
            </w:r>
            <w:r w:rsidR="00F279F7" w:rsidRPr="00E82D87">
              <w:rPr>
                <w:rFonts w:cstheme="minorHAnsi"/>
                <w:i/>
              </w:rPr>
              <w:t>blue-eye trevalla</w:t>
            </w:r>
            <w:r w:rsidRPr="00E82D87">
              <w:rPr>
                <w:rFonts w:cstheme="minorHAnsi"/>
                <w:i/>
              </w:rPr>
              <w:t xml:space="preserve"> and Harrisson’s </w:t>
            </w:r>
            <w:r w:rsidR="00F279F7" w:rsidRPr="00E82D87">
              <w:rPr>
                <w:rFonts w:cstheme="minorHAnsi"/>
                <w:i/>
              </w:rPr>
              <w:t>dogfish</w:t>
            </w:r>
            <w:r w:rsidRPr="00E82D87">
              <w:rPr>
                <w:rFonts w:cstheme="minorHAnsi"/>
                <w:i/>
              </w:rPr>
              <w:t>”</w:t>
            </w:r>
            <w:r w:rsidR="00BF671B" w:rsidRPr="00E82D87">
              <w:rPr>
                <w:rFonts w:cstheme="minorHAnsi"/>
                <w:i/>
              </w:rPr>
              <w:t xml:space="preserve"> </w:t>
            </w:r>
            <w:r w:rsidR="00BF671B" w:rsidRPr="00E82D87">
              <w:rPr>
                <w:rFonts w:cstheme="minorHAnsi"/>
              </w:rPr>
              <w:t xml:space="preserve">(Williams </w:t>
            </w:r>
            <w:r w:rsidR="00BF671B" w:rsidRPr="006E1C84">
              <w:rPr>
                <w:rFonts w:cstheme="minorHAnsi"/>
              </w:rPr>
              <w:t>et al</w:t>
            </w:r>
            <w:r w:rsidR="00BF671B" w:rsidRPr="00E82D87">
              <w:rPr>
                <w:rFonts w:cstheme="minorHAnsi"/>
              </w:rPr>
              <w:t>. 2013)</w:t>
            </w:r>
          </w:p>
        </w:tc>
        <w:tc>
          <w:tcPr>
            <w:tcW w:w="3072" w:type="pct"/>
            <w:shd w:val="clear" w:color="auto" w:fill="auto"/>
          </w:tcPr>
          <w:p w14:paraId="3CC5C3FB" w14:textId="45854DA9" w:rsidR="0097565A" w:rsidRPr="00E82D87" w:rsidRDefault="0097565A" w:rsidP="00015E96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  <w:bCs/>
              </w:rPr>
              <w:t xml:space="preserve">Establish that Harrisson’s </w:t>
            </w:r>
            <w:r w:rsidR="00F279F7" w:rsidRPr="00E82D87">
              <w:rPr>
                <w:rFonts w:asciiTheme="minorHAnsi" w:hAnsiTheme="minorHAnsi" w:cstheme="minorHAnsi"/>
                <w:bCs/>
              </w:rPr>
              <w:t xml:space="preserve">dogfish </w:t>
            </w:r>
            <w:r w:rsidRPr="00E82D87">
              <w:rPr>
                <w:rFonts w:asciiTheme="minorHAnsi" w:hAnsiTheme="minorHAnsi" w:cstheme="minorHAnsi"/>
                <w:bCs/>
              </w:rPr>
              <w:t xml:space="preserve">can be avoided during normal power handline fishing operations to harvest </w:t>
            </w:r>
            <w:r w:rsidR="00F279F7" w:rsidRPr="00E82D87">
              <w:rPr>
                <w:rFonts w:asciiTheme="minorHAnsi" w:hAnsiTheme="minorHAnsi" w:cstheme="minorHAnsi"/>
                <w:bCs/>
              </w:rPr>
              <w:t xml:space="preserve">blue-eye trevalla </w:t>
            </w:r>
            <w:r w:rsidRPr="00E82D87">
              <w:rPr>
                <w:rFonts w:asciiTheme="minorHAnsi" w:hAnsiTheme="minorHAnsi" w:cstheme="minorHAnsi"/>
                <w:bCs/>
              </w:rPr>
              <w:t>on the offshore Taupo and Barcoo seamounts</w:t>
            </w:r>
          </w:p>
          <w:p w14:paraId="09FC396C" w14:textId="77777777" w:rsidR="0097565A" w:rsidRPr="00E82D87" w:rsidRDefault="0097565A" w:rsidP="00015E96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  <w:bCs/>
              </w:rPr>
              <w:t>Identify environmental factors such as depth and time of day, together with gear/ method characteristics, that determine why the species of interest are captured or avoided by power handline</w:t>
            </w:r>
          </w:p>
          <w:p w14:paraId="515E7DA7" w14:textId="1368A6F1" w:rsidR="0097565A" w:rsidRPr="00E82D87" w:rsidRDefault="0097565A" w:rsidP="005B5736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  <w:bCs/>
              </w:rPr>
              <w:t xml:space="preserve">Determine the distribution of Harrisson's </w:t>
            </w:r>
            <w:r w:rsidR="00F279F7" w:rsidRPr="00E82D87">
              <w:rPr>
                <w:rFonts w:asciiTheme="minorHAnsi" w:hAnsiTheme="minorHAnsi" w:cstheme="minorHAnsi"/>
                <w:bCs/>
              </w:rPr>
              <w:t xml:space="preserve">dogfish </w:t>
            </w:r>
            <w:r w:rsidRPr="00E82D87">
              <w:rPr>
                <w:rFonts w:asciiTheme="minorHAnsi" w:hAnsiTheme="minorHAnsi" w:cstheme="minorHAnsi"/>
                <w:bCs/>
              </w:rPr>
              <w:t>on the east Australian seamount chain.</w:t>
            </w:r>
          </w:p>
        </w:tc>
        <w:tc>
          <w:tcPr>
            <w:tcW w:w="671" w:type="pct"/>
            <w:shd w:val="clear" w:color="auto" w:fill="auto"/>
          </w:tcPr>
          <w:p w14:paraId="7FAD111E" w14:textId="5B9777A1" w:rsidR="0097565A" w:rsidRPr="00E82D87" w:rsidRDefault="0097565A" w:rsidP="005B5736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</w:rPr>
              <w:t>2013</w:t>
            </w:r>
          </w:p>
        </w:tc>
      </w:tr>
      <w:tr w:rsidR="00F41A47" w:rsidRPr="00E82D87" w14:paraId="755342A4" w14:textId="77777777" w:rsidTr="0097565A">
        <w:tc>
          <w:tcPr>
            <w:tcW w:w="1257" w:type="pct"/>
            <w:shd w:val="clear" w:color="auto" w:fill="auto"/>
          </w:tcPr>
          <w:p w14:paraId="23E5B3D6" w14:textId="304A34E6" w:rsidR="00F41A47" w:rsidRPr="00E82D87" w:rsidRDefault="00F41A47" w:rsidP="00F41A47">
            <w:pPr>
              <w:rPr>
                <w:rFonts w:cstheme="minorHAnsi"/>
                <w:i/>
                <w:color w:val="010101"/>
                <w:lang w:eastAsia="en-AU"/>
              </w:rPr>
            </w:pPr>
            <w:r w:rsidRPr="00E82D87">
              <w:rPr>
                <w:rFonts w:cstheme="minorHAnsi"/>
              </w:rPr>
              <w:t>“</w:t>
            </w:r>
            <w:r w:rsidRPr="00E82D87">
              <w:rPr>
                <w:rFonts w:cstheme="minorHAnsi"/>
                <w:i/>
              </w:rPr>
              <w:t xml:space="preserve">Mapping the distribution and movement of gulper sharks, and developing a non-extractive monitoring technique, to mitigate the risk to the species within a multi-sector fishery region off </w:t>
            </w:r>
            <w:r w:rsidRPr="00E82D87">
              <w:rPr>
                <w:rFonts w:cstheme="minorHAnsi"/>
                <w:i/>
              </w:rPr>
              <w:lastRenderedPageBreak/>
              <w:t>southern and eastern Australia</w:t>
            </w:r>
            <w:r w:rsidRPr="00E82D87">
              <w:rPr>
                <w:rFonts w:cstheme="minorHAnsi"/>
              </w:rPr>
              <w:t>”</w:t>
            </w:r>
            <w:r w:rsidRPr="00E82D87">
              <w:rPr>
                <w:rFonts w:cstheme="minorHAnsi"/>
                <w:color w:val="666666"/>
              </w:rPr>
              <w:t xml:space="preserve"> </w:t>
            </w:r>
            <w:r w:rsidRPr="00E82D87">
              <w:rPr>
                <w:rFonts w:cstheme="minorHAnsi"/>
              </w:rPr>
              <w:t xml:space="preserve">(Williams </w:t>
            </w:r>
            <w:r w:rsidRPr="006E1C84">
              <w:rPr>
                <w:rFonts w:cstheme="minorHAnsi"/>
              </w:rPr>
              <w:t>et al</w:t>
            </w:r>
            <w:r w:rsidRPr="00E82D87">
              <w:rPr>
                <w:rFonts w:cstheme="minorHAnsi"/>
              </w:rPr>
              <w:t>. 2012).</w:t>
            </w:r>
          </w:p>
        </w:tc>
        <w:tc>
          <w:tcPr>
            <w:tcW w:w="3072" w:type="pct"/>
            <w:shd w:val="clear" w:color="auto" w:fill="auto"/>
          </w:tcPr>
          <w:p w14:paraId="29DC273C" w14:textId="77777777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lastRenderedPageBreak/>
              <w:t>Update distribution maps of gulper sharks in eastern Australia</w:t>
            </w:r>
          </w:p>
          <w:p w14:paraId="7DD9EDCD" w14:textId="77777777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>Developed techniques to use acoustic telemetry technology in deep ocean</w:t>
            </w:r>
          </w:p>
          <w:p w14:paraId="2C84DCD7" w14:textId="77777777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E82D87">
              <w:rPr>
                <w:rFonts w:asciiTheme="minorHAnsi" w:hAnsiTheme="minorHAnsi" w:cstheme="minorHAnsi"/>
              </w:rPr>
              <w:t>Development of new DeepBRUVS survey tools  to collect data of gulper shark populations</w:t>
            </w:r>
          </w:p>
          <w:p w14:paraId="3E30D1D7" w14:textId="3DA11691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</w:rPr>
              <w:t>Used to guide the development of management responses via consultation with S</w:t>
            </w:r>
            <w:r w:rsidR="00F279F7">
              <w:rPr>
                <w:rFonts w:asciiTheme="minorHAnsi" w:hAnsiTheme="minorHAnsi" w:cstheme="minorHAnsi"/>
              </w:rPr>
              <w:t xml:space="preserve">outh </w:t>
            </w:r>
            <w:r w:rsidRPr="00E82D87">
              <w:rPr>
                <w:rFonts w:asciiTheme="minorHAnsi" w:hAnsiTheme="minorHAnsi" w:cstheme="minorHAnsi"/>
              </w:rPr>
              <w:t>E</w:t>
            </w:r>
            <w:r w:rsidR="00F279F7">
              <w:rPr>
                <w:rFonts w:asciiTheme="minorHAnsi" w:hAnsiTheme="minorHAnsi" w:cstheme="minorHAnsi"/>
              </w:rPr>
              <w:t xml:space="preserve">ast </w:t>
            </w:r>
            <w:r w:rsidRPr="00E82D87">
              <w:rPr>
                <w:rFonts w:asciiTheme="minorHAnsi" w:hAnsiTheme="minorHAnsi" w:cstheme="minorHAnsi"/>
              </w:rPr>
              <w:t>M</w:t>
            </w:r>
            <w:r w:rsidR="00F279F7">
              <w:rPr>
                <w:rFonts w:asciiTheme="minorHAnsi" w:hAnsiTheme="minorHAnsi" w:cstheme="minorHAnsi"/>
              </w:rPr>
              <w:t xml:space="preserve">anagement </w:t>
            </w:r>
            <w:r w:rsidRPr="00E82D87">
              <w:rPr>
                <w:rFonts w:asciiTheme="minorHAnsi" w:hAnsiTheme="minorHAnsi" w:cstheme="minorHAnsi"/>
              </w:rPr>
              <w:t>A</w:t>
            </w:r>
            <w:r w:rsidR="00F279F7">
              <w:rPr>
                <w:rFonts w:asciiTheme="minorHAnsi" w:hAnsiTheme="minorHAnsi" w:cstheme="minorHAnsi"/>
              </w:rPr>
              <w:t xml:space="preserve">dvisory </w:t>
            </w:r>
            <w:r w:rsidRPr="00E82D87">
              <w:rPr>
                <w:rFonts w:asciiTheme="minorHAnsi" w:hAnsiTheme="minorHAnsi" w:cstheme="minorHAnsi"/>
              </w:rPr>
              <w:t>C</w:t>
            </w:r>
            <w:r w:rsidR="00F279F7">
              <w:rPr>
                <w:rFonts w:asciiTheme="minorHAnsi" w:hAnsiTheme="minorHAnsi" w:cstheme="minorHAnsi"/>
              </w:rPr>
              <w:t>ommittee (SEMAC)</w:t>
            </w:r>
          </w:p>
        </w:tc>
        <w:tc>
          <w:tcPr>
            <w:tcW w:w="671" w:type="pct"/>
            <w:shd w:val="clear" w:color="auto" w:fill="auto"/>
          </w:tcPr>
          <w:p w14:paraId="71EEE850" w14:textId="58F8886A" w:rsidR="00F41A47" w:rsidRPr="00E82D87" w:rsidRDefault="00F41A47" w:rsidP="00F41A47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</w:rPr>
              <w:t>2012</w:t>
            </w:r>
          </w:p>
        </w:tc>
      </w:tr>
      <w:tr w:rsidR="00F41A47" w:rsidRPr="00E82D87" w14:paraId="41C212D3" w14:textId="77777777" w:rsidTr="0097565A">
        <w:tc>
          <w:tcPr>
            <w:tcW w:w="1257" w:type="pct"/>
            <w:shd w:val="clear" w:color="auto" w:fill="auto"/>
          </w:tcPr>
          <w:p w14:paraId="7BC9848A" w14:textId="18556A3D" w:rsidR="00F41A47" w:rsidRPr="00E82D87" w:rsidRDefault="00F41A47" w:rsidP="00F41A47">
            <w:pPr>
              <w:rPr>
                <w:rFonts w:cstheme="minorHAnsi"/>
                <w:i/>
              </w:rPr>
            </w:pPr>
            <w:r w:rsidRPr="00E82D87">
              <w:rPr>
                <w:rFonts w:cstheme="minorHAnsi"/>
                <w:i/>
                <w:color w:val="010101"/>
                <w:lang w:eastAsia="en-AU"/>
              </w:rPr>
              <w:t>Industry monitoring and sampling of gulper shark catches in the SESSF</w:t>
            </w:r>
            <w:r w:rsidRPr="00E82D87">
              <w:rPr>
                <w:rFonts w:cstheme="minorHAnsi"/>
                <w:i/>
              </w:rPr>
              <w:t xml:space="preserve"> </w:t>
            </w:r>
            <w:r w:rsidRPr="00E82D87">
              <w:rPr>
                <w:rFonts w:cstheme="minorHAnsi"/>
              </w:rPr>
              <w:t xml:space="preserve">(Koopman </w:t>
            </w:r>
            <w:r w:rsidRPr="006E1C84">
              <w:rPr>
                <w:rFonts w:cstheme="minorHAnsi"/>
              </w:rPr>
              <w:t>et al</w:t>
            </w:r>
            <w:r w:rsidRPr="00E82D87">
              <w:rPr>
                <w:rFonts w:cstheme="minorHAnsi"/>
              </w:rPr>
              <w:t>. 2011)</w:t>
            </w:r>
            <w:r w:rsidRPr="00E82D87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072" w:type="pct"/>
            <w:shd w:val="clear" w:color="auto" w:fill="auto"/>
          </w:tcPr>
          <w:p w14:paraId="7CEEA4A8" w14:textId="3E4A1E02" w:rsidR="00F41A47" w:rsidRPr="00E82D87" w:rsidRDefault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  <w:bCs/>
              </w:rPr>
              <w:t xml:space="preserve">Improved skills for identification of gulper sharks by SESSF crews, leading to increased and improved reporting of catch and effort of the species in commercial logbooks. </w:t>
            </w:r>
          </w:p>
        </w:tc>
        <w:tc>
          <w:tcPr>
            <w:tcW w:w="671" w:type="pct"/>
            <w:shd w:val="clear" w:color="auto" w:fill="auto"/>
          </w:tcPr>
          <w:p w14:paraId="6A2FAB0D" w14:textId="733072C7" w:rsidR="00F41A47" w:rsidRPr="00E82D87" w:rsidRDefault="00F41A47" w:rsidP="00F41A47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</w:rPr>
              <w:t>2011</w:t>
            </w:r>
          </w:p>
        </w:tc>
      </w:tr>
      <w:tr w:rsidR="00F41A47" w:rsidRPr="00E82D87" w14:paraId="125C6E4C" w14:textId="77777777" w:rsidTr="005B5736">
        <w:tc>
          <w:tcPr>
            <w:tcW w:w="1257" w:type="pct"/>
            <w:shd w:val="clear" w:color="auto" w:fill="auto"/>
          </w:tcPr>
          <w:p w14:paraId="06B90548" w14:textId="014CA261" w:rsidR="00F41A47" w:rsidRPr="00E82D87" w:rsidRDefault="00F41A47" w:rsidP="00F41A47">
            <w:pPr>
              <w:rPr>
                <w:rFonts w:cstheme="minorHAnsi"/>
              </w:rPr>
            </w:pPr>
            <w:r w:rsidRPr="00E82D87">
              <w:rPr>
                <w:rFonts w:cstheme="minorHAnsi"/>
                <w:i/>
              </w:rPr>
              <w:t xml:space="preserve">Information to support management options for upper-slope gulper sharks (including Harrisson’s dogfish and southern dogfish) </w:t>
            </w:r>
            <w:r w:rsidRPr="00E82D87">
              <w:rPr>
                <w:rFonts w:cstheme="minorHAnsi"/>
              </w:rPr>
              <w:t xml:space="preserve">(Wilson </w:t>
            </w:r>
            <w:r w:rsidRPr="006E1C84">
              <w:rPr>
                <w:rFonts w:cstheme="minorHAnsi"/>
              </w:rPr>
              <w:t>et al</w:t>
            </w:r>
            <w:r w:rsidRPr="00E82D87">
              <w:rPr>
                <w:rFonts w:cstheme="minorHAnsi"/>
              </w:rPr>
              <w:t xml:space="preserve">. 2009). </w:t>
            </w:r>
          </w:p>
        </w:tc>
        <w:tc>
          <w:tcPr>
            <w:tcW w:w="3072" w:type="pct"/>
            <w:shd w:val="clear" w:color="auto" w:fill="auto"/>
          </w:tcPr>
          <w:p w14:paraId="3C20E355" w14:textId="77777777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  <w:bCs/>
              </w:rPr>
              <w:t xml:space="preserve">Review of the success of international management arrangements to address the sustainability of fisheries catches involving similar upper-slope low productivity shark species. </w:t>
            </w:r>
          </w:p>
          <w:p w14:paraId="65C33394" w14:textId="3EA9420F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  <w:bCs/>
              </w:rPr>
              <w:t>Review of the historical identification of Harrisson’s dogfish including catch statistics and scientific surveys.</w:t>
            </w:r>
          </w:p>
          <w:p w14:paraId="5B0BDFE2" w14:textId="6AD13339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  <w:bCs/>
              </w:rPr>
              <w:t>Investigate and improve estimates on the nature and extent of interactions with Harrisson’s dogfish and similar upper-slope gulper sharks in all sectors of Australia’s Southern and Eastern Scalefish and Shark Fishery (SESSF).</w:t>
            </w:r>
          </w:p>
          <w:p w14:paraId="030C57C7" w14:textId="7FE02690" w:rsidR="00F41A47" w:rsidRPr="00E82D87" w:rsidRDefault="00F41A47" w:rsidP="00F41A47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E82D87">
              <w:rPr>
                <w:rFonts w:asciiTheme="minorHAnsi" w:hAnsiTheme="minorHAnsi" w:cstheme="minorHAnsi"/>
                <w:bCs/>
              </w:rPr>
              <w:t xml:space="preserve">Analysis, with supporting rationale, for alternative management options for reducing the ecological risk to Harrisson’s dogfish and similar upper-slope gulper sharks in Australia’s SESSF. </w:t>
            </w:r>
          </w:p>
        </w:tc>
        <w:tc>
          <w:tcPr>
            <w:tcW w:w="671" w:type="pct"/>
            <w:shd w:val="clear" w:color="auto" w:fill="auto"/>
          </w:tcPr>
          <w:p w14:paraId="32F85ABC" w14:textId="601BE4B5" w:rsidR="00F41A47" w:rsidRPr="00E82D87" w:rsidRDefault="00F41A47" w:rsidP="005B5736">
            <w:pPr>
              <w:spacing w:before="40" w:after="40"/>
              <w:rPr>
                <w:rFonts w:cstheme="minorHAnsi"/>
              </w:rPr>
            </w:pPr>
            <w:r w:rsidRPr="00E82D87">
              <w:rPr>
                <w:rFonts w:cstheme="minorHAnsi"/>
              </w:rPr>
              <w:t>2009</w:t>
            </w:r>
          </w:p>
        </w:tc>
      </w:tr>
    </w:tbl>
    <w:p w14:paraId="2F5DD825" w14:textId="77777777" w:rsidR="001E7090" w:rsidRDefault="001E7090" w:rsidP="00EC0024">
      <w:pPr>
        <w:rPr>
          <w:rFonts w:cstheme="minorHAnsi"/>
          <w:b/>
        </w:rPr>
      </w:pPr>
    </w:p>
    <w:p w14:paraId="4C584B6C" w14:textId="77777777" w:rsidR="001E7090" w:rsidRDefault="001E7090" w:rsidP="00EC0024">
      <w:pPr>
        <w:rPr>
          <w:rFonts w:cstheme="minorHAnsi"/>
          <w:b/>
        </w:rPr>
      </w:pPr>
    </w:p>
    <w:p w14:paraId="271863DD" w14:textId="3E39D976" w:rsidR="00AA4344" w:rsidRPr="00E82D87" w:rsidRDefault="00AA4344" w:rsidP="00EC0024">
      <w:pPr>
        <w:rPr>
          <w:rFonts w:cstheme="minorHAnsi"/>
          <w:b/>
        </w:rPr>
      </w:pPr>
      <w:bookmarkStart w:id="0" w:name="_GoBack"/>
      <w:bookmarkEnd w:id="0"/>
      <w:r w:rsidRPr="00E82D87">
        <w:rPr>
          <w:rFonts w:cstheme="minorHAnsi"/>
          <w:b/>
        </w:rPr>
        <w:t>References</w:t>
      </w:r>
    </w:p>
    <w:p w14:paraId="4637F79C" w14:textId="77777777" w:rsidR="00F55B13" w:rsidRPr="00E82D87" w:rsidRDefault="00F55B13" w:rsidP="00F55B13">
      <w:pPr>
        <w:autoSpaceDE w:val="0"/>
        <w:autoSpaceDN w:val="0"/>
        <w:adjustRightInd w:val="0"/>
        <w:spacing w:before="120"/>
        <w:ind w:left="720" w:hanging="720"/>
        <w:rPr>
          <w:rFonts w:cstheme="minorHAnsi"/>
        </w:rPr>
      </w:pPr>
      <w:r w:rsidRPr="00E82D87">
        <w:rPr>
          <w:rFonts w:cstheme="minorHAnsi"/>
        </w:rPr>
        <w:t>Koopman, M., Knuckey, I and Daley, R. (2011). Industry monitoring and sampling of gulper shark catches in the SESSF. FRDC Project 2009/023</w:t>
      </w:r>
    </w:p>
    <w:p w14:paraId="741CF727" w14:textId="179FF386" w:rsidR="00BF671B" w:rsidRPr="00E82D87" w:rsidRDefault="00BF671B" w:rsidP="00BF671B">
      <w:pPr>
        <w:rPr>
          <w:rFonts w:cstheme="minorHAnsi"/>
        </w:rPr>
      </w:pPr>
      <w:r w:rsidRPr="00E82D87">
        <w:rPr>
          <w:rFonts w:cstheme="minorHAnsi"/>
        </w:rPr>
        <w:t>Williams, A., Althaus, F., Smith, A.D.M., Daley, R., Barker, B.A., Fuller, M (2013). Developing and applying a spatially based seascape analysis (the "habitat proxy" method) to inform management of gulper sharks: compendium of CSIRO discussion papers Hobart, p. 220.</w:t>
      </w:r>
    </w:p>
    <w:p w14:paraId="7BA5F8FE" w14:textId="77777777" w:rsidR="00DB3208" w:rsidRPr="00E82D87" w:rsidRDefault="00DB3208" w:rsidP="00DB3208">
      <w:pPr>
        <w:rPr>
          <w:rFonts w:cstheme="minorHAnsi"/>
        </w:rPr>
      </w:pPr>
      <w:r w:rsidRPr="00E82D87">
        <w:rPr>
          <w:rFonts w:cstheme="minorHAnsi"/>
        </w:rPr>
        <w:t>Williams, A., Daley, R., Barker, B.A., Green, M.A.P., Knuckey, I (2012). Mapping the distribution and movement of gulper sharks, and developing a non-extractive monitoring technique, to mitigate the risk to the species within a multi-sector fishery region off southern and eastern Australia. Final report to the Fisheries Research Development Corporation, FRDC Project No 2009/024. CSIRO, Hobart, Tasmania, p. 311.</w:t>
      </w:r>
    </w:p>
    <w:p w14:paraId="538D3DDA" w14:textId="645D8BFC" w:rsidR="00AA4344" w:rsidRPr="00E82D87" w:rsidRDefault="00AA4344" w:rsidP="00EC0024">
      <w:pPr>
        <w:rPr>
          <w:rFonts w:cstheme="minorHAnsi"/>
        </w:rPr>
      </w:pPr>
      <w:r w:rsidRPr="00E82D87">
        <w:rPr>
          <w:rFonts w:cstheme="minorHAnsi"/>
        </w:rPr>
        <w:lastRenderedPageBreak/>
        <w:t>William</w:t>
      </w:r>
      <w:r w:rsidR="00DB3208" w:rsidRPr="00E82D87">
        <w:rPr>
          <w:rFonts w:cstheme="minorHAnsi"/>
        </w:rPr>
        <w:t>s</w:t>
      </w:r>
      <w:r w:rsidRPr="00E82D87">
        <w:rPr>
          <w:rFonts w:cstheme="minorHAnsi"/>
        </w:rPr>
        <w:t xml:space="preserve"> A, Green M.A, Althus F, Knuckey I, McLean D, Koopman M (2018) Research to support the upper</w:t>
      </w:r>
      <w:r w:rsidR="00E82D87" w:rsidRPr="00E82D87">
        <w:rPr>
          <w:rFonts w:cstheme="minorHAnsi"/>
        </w:rPr>
        <w:t>-</w:t>
      </w:r>
      <w:r w:rsidRPr="00E82D87">
        <w:rPr>
          <w:rFonts w:cstheme="minorHAnsi"/>
        </w:rPr>
        <w:t xml:space="preserve">slope dogfish management strategy: options for monitoring the recovery of </w:t>
      </w:r>
      <w:r w:rsidR="00B24A5E" w:rsidRPr="00E82D87">
        <w:rPr>
          <w:rFonts w:cstheme="minorHAnsi"/>
        </w:rPr>
        <w:t xml:space="preserve">southern dogfish </w:t>
      </w:r>
      <w:r w:rsidRPr="00E82D87">
        <w:rPr>
          <w:rFonts w:cstheme="minorHAnsi"/>
        </w:rPr>
        <w:t xml:space="preserve">and Harrisson’s </w:t>
      </w:r>
      <w:r w:rsidR="00B24A5E" w:rsidRPr="00E82D87">
        <w:rPr>
          <w:rFonts w:cstheme="minorHAnsi"/>
        </w:rPr>
        <w:t>dogfish</w:t>
      </w:r>
      <w:r w:rsidRPr="00E82D87">
        <w:rPr>
          <w:rFonts w:cstheme="minorHAnsi"/>
        </w:rPr>
        <w:t xml:space="preserve">. Report to AFMA. CSIRO, Australia. </w:t>
      </w:r>
    </w:p>
    <w:p w14:paraId="0E264A99" w14:textId="7BD01926" w:rsidR="0009217E" w:rsidRPr="00E82D87" w:rsidRDefault="00C01206" w:rsidP="00EC0024">
      <w:pPr>
        <w:rPr>
          <w:rFonts w:cstheme="minorHAnsi"/>
        </w:rPr>
      </w:pPr>
      <w:r w:rsidRPr="00E82D87">
        <w:rPr>
          <w:rFonts w:cstheme="minorHAnsi"/>
        </w:rPr>
        <w:t>Wilson D T, Patterson H M, Summerson R and Hobsbawn P I (2009) Information to support management options for upper-slope gulper sharks (including Harrisson’s dogfish and southern dogfish). Final Report to the Fisheries Research and Development Corporation Project No. 2008/65. Bureau of Rural Sciences, Canberra.</w:t>
      </w:r>
      <w:r w:rsidR="00AA4344" w:rsidRPr="00E82D87" w:rsidDel="00AA4344">
        <w:rPr>
          <w:rFonts w:cstheme="minorHAnsi"/>
        </w:rPr>
        <w:t xml:space="preserve"> </w:t>
      </w:r>
    </w:p>
    <w:sectPr w:rsidR="0009217E" w:rsidRPr="00E82D87" w:rsidSect="00D12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88DA" w14:textId="77777777" w:rsidR="00C36EF5" w:rsidRDefault="00C36EF5" w:rsidP="006A1B26">
      <w:pPr>
        <w:spacing w:after="0" w:line="240" w:lineRule="auto"/>
      </w:pPr>
      <w:r>
        <w:separator/>
      </w:r>
    </w:p>
  </w:endnote>
  <w:endnote w:type="continuationSeparator" w:id="0">
    <w:p w14:paraId="1B1D8010" w14:textId="77777777" w:rsidR="00C36EF5" w:rsidRDefault="00C36EF5" w:rsidP="006A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8792E" w14:textId="77777777" w:rsidR="00646F92" w:rsidRDefault="00646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B7732" w14:textId="77777777" w:rsidR="00646F92" w:rsidRDefault="00646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4D8E3" w14:textId="77777777" w:rsidR="00646F92" w:rsidRDefault="00646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E102" w14:textId="77777777" w:rsidR="00C36EF5" w:rsidRDefault="00C36EF5" w:rsidP="006A1B26">
      <w:pPr>
        <w:spacing w:after="0" w:line="240" w:lineRule="auto"/>
      </w:pPr>
      <w:r>
        <w:separator/>
      </w:r>
    </w:p>
  </w:footnote>
  <w:footnote w:type="continuationSeparator" w:id="0">
    <w:p w14:paraId="26D8CB9C" w14:textId="77777777" w:rsidR="00C36EF5" w:rsidRDefault="00C36EF5" w:rsidP="006A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4924A" w14:textId="77777777" w:rsidR="00646F92" w:rsidRDefault="00646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987849"/>
      <w:docPartObj>
        <w:docPartGallery w:val="Watermarks"/>
        <w:docPartUnique/>
      </w:docPartObj>
    </w:sdtPr>
    <w:sdtEndPr/>
    <w:sdtContent>
      <w:p w14:paraId="48E15288" w14:textId="40B11F2E" w:rsidR="00646F92" w:rsidRDefault="001E7090">
        <w:pPr>
          <w:pStyle w:val="Header"/>
        </w:pPr>
        <w:r>
          <w:rPr>
            <w:noProof/>
            <w:lang w:val="en-US"/>
          </w:rPr>
          <w:pict w14:anchorId="109157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991017" o:spid="_x0000_s41985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653F" w14:textId="77777777" w:rsidR="00646F92" w:rsidRDefault="00646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D25"/>
    <w:multiLevelType w:val="hybridMultilevel"/>
    <w:tmpl w:val="B35A173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8572B"/>
    <w:multiLevelType w:val="hybridMultilevel"/>
    <w:tmpl w:val="C2167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B05"/>
    <w:multiLevelType w:val="hybridMultilevel"/>
    <w:tmpl w:val="6D2A605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4F61"/>
    <w:multiLevelType w:val="hybridMultilevel"/>
    <w:tmpl w:val="81BA4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0BC1"/>
    <w:multiLevelType w:val="hybridMultilevel"/>
    <w:tmpl w:val="1DF6CB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47C01"/>
    <w:multiLevelType w:val="hybridMultilevel"/>
    <w:tmpl w:val="EE968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4ED8"/>
    <w:multiLevelType w:val="hybridMultilevel"/>
    <w:tmpl w:val="16229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6E19"/>
    <w:multiLevelType w:val="hybridMultilevel"/>
    <w:tmpl w:val="F90E39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2621B"/>
    <w:multiLevelType w:val="hybridMultilevel"/>
    <w:tmpl w:val="1DF6CB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101B"/>
    <w:multiLevelType w:val="hybridMultilevel"/>
    <w:tmpl w:val="2CD2BC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65C21"/>
    <w:multiLevelType w:val="hybridMultilevel"/>
    <w:tmpl w:val="2D601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31744"/>
    <w:multiLevelType w:val="hybridMultilevel"/>
    <w:tmpl w:val="9AD46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34746"/>
    <w:multiLevelType w:val="hybridMultilevel"/>
    <w:tmpl w:val="1DF6CB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24A31"/>
    <w:multiLevelType w:val="hybridMultilevel"/>
    <w:tmpl w:val="F044F3C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86738"/>
    <w:multiLevelType w:val="hybridMultilevel"/>
    <w:tmpl w:val="092C61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E7447"/>
    <w:multiLevelType w:val="hybridMultilevel"/>
    <w:tmpl w:val="535C5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63BFC"/>
    <w:multiLevelType w:val="hybridMultilevel"/>
    <w:tmpl w:val="0A781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5"/>
  </w:num>
  <w:num w:numId="5">
    <w:abstractNumId w:val="0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5"/>
  </w:num>
  <w:num w:numId="14">
    <w:abstractNumId w:val="14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1986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24"/>
    <w:rsid w:val="00020905"/>
    <w:rsid w:val="00053435"/>
    <w:rsid w:val="0009217E"/>
    <w:rsid w:val="000D44D4"/>
    <w:rsid w:val="000D7762"/>
    <w:rsid w:val="001146F4"/>
    <w:rsid w:val="00125992"/>
    <w:rsid w:val="001444CC"/>
    <w:rsid w:val="0014482B"/>
    <w:rsid w:val="00144DF6"/>
    <w:rsid w:val="00160FB5"/>
    <w:rsid w:val="00163FDD"/>
    <w:rsid w:val="00174A70"/>
    <w:rsid w:val="001764B4"/>
    <w:rsid w:val="0017769C"/>
    <w:rsid w:val="00181493"/>
    <w:rsid w:val="001814D3"/>
    <w:rsid w:val="00192A05"/>
    <w:rsid w:val="001E076D"/>
    <w:rsid w:val="001E7090"/>
    <w:rsid w:val="0023557E"/>
    <w:rsid w:val="0026457F"/>
    <w:rsid w:val="00270836"/>
    <w:rsid w:val="00271A93"/>
    <w:rsid w:val="002A5F27"/>
    <w:rsid w:val="002F005C"/>
    <w:rsid w:val="00323D44"/>
    <w:rsid w:val="0033785A"/>
    <w:rsid w:val="00354ECB"/>
    <w:rsid w:val="0035661E"/>
    <w:rsid w:val="00373F44"/>
    <w:rsid w:val="00385DDE"/>
    <w:rsid w:val="003A4764"/>
    <w:rsid w:val="003B77D6"/>
    <w:rsid w:val="003C00AB"/>
    <w:rsid w:val="00407B4A"/>
    <w:rsid w:val="00444E43"/>
    <w:rsid w:val="00474014"/>
    <w:rsid w:val="004A6869"/>
    <w:rsid w:val="004D49CA"/>
    <w:rsid w:val="005159B4"/>
    <w:rsid w:val="00517610"/>
    <w:rsid w:val="00537A51"/>
    <w:rsid w:val="00543B27"/>
    <w:rsid w:val="005462D6"/>
    <w:rsid w:val="00550FAC"/>
    <w:rsid w:val="00552D26"/>
    <w:rsid w:val="005633FA"/>
    <w:rsid w:val="0057449D"/>
    <w:rsid w:val="00577C56"/>
    <w:rsid w:val="005A6FB9"/>
    <w:rsid w:val="005B5736"/>
    <w:rsid w:val="005C764D"/>
    <w:rsid w:val="005E0F5A"/>
    <w:rsid w:val="005E1931"/>
    <w:rsid w:val="00606C4B"/>
    <w:rsid w:val="00632086"/>
    <w:rsid w:val="006327C1"/>
    <w:rsid w:val="00637A73"/>
    <w:rsid w:val="00646F92"/>
    <w:rsid w:val="006638BF"/>
    <w:rsid w:val="00667B85"/>
    <w:rsid w:val="006875F2"/>
    <w:rsid w:val="00692E90"/>
    <w:rsid w:val="006A1B26"/>
    <w:rsid w:val="006D056F"/>
    <w:rsid w:val="006E1755"/>
    <w:rsid w:val="006E1C84"/>
    <w:rsid w:val="006E72BA"/>
    <w:rsid w:val="00702D84"/>
    <w:rsid w:val="00705CBE"/>
    <w:rsid w:val="00711598"/>
    <w:rsid w:val="00726195"/>
    <w:rsid w:val="00726D82"/>
    <w:rsid w:val="007277F0"/>
    <w:rsid w:val="007338CF"/>
    <w:rsid w:val="00737EF4"/>
    <w:rsid w:val="0074165E"/>
    <w:rsid w:val="00741E8B"/>
    <w:rsid w:val="00744D65"/>
    <w:rsid w:val="00752655"/>
    <w:rsid w:val="0079140F"/>
    <w:rsid w:val="007956BD"/>
    <w:rsid w:val="007A2F0A"/>
    <w:rsid w:val="007A5F98"/>
    <w:rsid w:val="007C3DC6"/>
    <w:rsid w:val="007E57F4"/>
    <w:rsid w:val="007F21A1"/>
    <w:rsid w:val="008009FD"/>
    <w:rsid w:val="0081146C"/>
    <w:rsid w:val="00812B9F"/>
    <w:rsid w:val="008473CF"/>
    <w:rsid w:val="008509F6"/>
    <w:rsid w:val="00890176"/>
    <w:rsid w:val="008B162C"/>
    <w:rsid w:val="008C3D9C"/>
    <w:rsid w:val="008C489D"/>
    <w:rsid w:val="008C533F"/>
    <w:rsid w:val="008D379F"/>
    <w:rsid w:val="008D7E27"/>
    <w:rsid w:val="008E153F"/>
    <w:rsid w:val="008E7347"/>
    <w:rsid w:val="008F7732"/>
    <w:rsid w:val="00900258"/>
    <w:rsid w:val="00907B2F"/>
    <w:rsid w:val="00917125"/>
    <w:rsid w:val="009316CC"/>
    <w:rsid w:val="0093174B"/>
    <w:rsid w:val="00952580"/>
    <w:rsid w:val="0097565A"/>
    <w:rsid w:val="00992426"/>
    <w:rsid w:val="009A6EA0"/>
    <w:rsid w:val="009C32EA"/>
    <w:rsid w:val="009C431B"/>
    <w:rsid w:val="009D19CB"/>
    <w:rsid w:val="009D405F"/>
    <w:rsid w:val="00A53DB1"/>
    <w:rsid w:val="00A579E4"/>
    <w:rsid w:val="00A7727E"/>
    <w:rsid w:val="00A80860"/>
    <w:rsid w:val="00A858C7"/>
    <w:rsid w:val="00AA185B"/>
    <w:rsid w:val="00AA4344"/>
    <w:rsid w:val="00AB54E8"/>
    <w:rsid w:val="00AC0DF6"/>
    <w:rsid w:val="00B24A5E"/>
    <w:rsid w:val="00B27B30"/>
    <w:rsid w:val="00B43D57"/>
    <w:rsid w:val="00B770F6"/>
    <w:rsid w:val="00B80B65"/>
    <w:rsid w:val="00B81423"/>
    <w:rsid w:val="00B92CF5"/>
    <w:rsid w:val="00BA7682"/>
    <w:rsid w:val="00BE1375"/>
    <w:rsid w:val="00BF64F1"/>
    <w:rsid w:val="00BF671B"/>
    <w:rsid w:val="00BF7803"/>
    <w:rsid w:val="00C01206"/>
    <w:rsid w:val="00C22BAD"/>
    <w:rsid w:val="00C36EF5"/>
    <w:rsid w:val="00C41A27"/>
    <w:rsid w:val="00C42650"/>
    <w:rsid w:val="00C45A74"/>
    <w:rsid w:val="00C472C3"/>
    <w:rsid w:val="00C5390D"/>
    <w:rsid w:val="00C554C0"/>
    <w:rsid w:val="00C5760A"/>
    <w:rsid w:val="00C6565D"/>
    <w:rsid w:val="00C71945"/>
    <w:rsid w:val="00C92FE7"/>
    <w:rsid w:val="00CA45F8"/>
    <w:rsid w:val="00CB3E3F"/>
    <w:rsid w:val="00CC590D"/>
    <w:rsid w:val="00D07164"/>
    <w:rsid w:val="00D12889"/>
    <w:rsid w:val="00D15E86"/>
    <w:rsid w:val="00D6740B"/>
    <w:rsid w:val="00D7786E"/>
    <w:rsid w:val="00D97ED2"/>
    <w:rsid w:val="00DA2570"/>
    <w:rsid w:val="00DB11C6"/>
    <w:rsid w:val="00DB3208"/>
    <w:rsid w:val="00E050A6"/>
    <w:rsid w:val="00E145B4"/>
    <w:rsid w:val="00E318F6"/>
    <w:rsid w:val="00E41B1E"/>
    <w:rsid w:val="00E41D9C"/>
    <w:rsid w:val="00E53008"/>
    <w:rsid w:val="00E62B5B"/>
    <w:rsid w:val="00E7374C"/>
    <w:rsid w:val="00E82D87"/>
    <w:rsid w:val="00E82F0E"/>
    <w:rsid w:val="00E857E9"/>
    <w:rsid w:val="00E8715C"/>
    <w:rsid w:val="00EB709B"/>
    <w:rsid w:val="00EC0024"/>
    <w:rsid w:val="00EC3BE2"/>
    <w:rsid w:val="00EE10EA"/>
    <w:rsid w:val="00EF264C"/>
    <w:rsid w:val="00F20C53"/>
    <w:rsid w:val="00F279F7"/>
    <w:rsid w:val="00F41A47"/>
    <w:rsid w:val="00F50F5D"/>
    <w:rsid w:val="00F55B13"/>
    <w:rsid w:val="00F67942"/>
    <w:rsid w:val="00F67B69"/>
    <w:rsid w:val="00F716BE"/>
    <w:rsid w:val="00F71FA7"/>
    <w:rsid w:val="00F74459"/>
    <w:rsid w:val="00F761A5"/>
    <w:rsid w:val="00F862A4"/>
    <w:rsid w:val="00F97C6A"/>
    <w:rsid w:val="00FA41A2"/>
    <w:rsid w:val="00FB3220"/>
    <w:rsid w:val="00FC37F6"/>
    <w:rsid w:val="00FE15BE"/>
    <w:rsid w:val="00FE660E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  <w14:docId w14:val="07A8D989"/>
  <w15:chartTrackingRefBased/>
  <w15:docId w15:val="{6FA10CA6-35A9-436F-BF00-A449692B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024"/>
    <w:pPr>
      <w:keepNext/>
      <w:keepLines/>
      <w:suppressAutoHyphens/>
      <w:spacing w:after="400" w:line="400" w:lineRule="atLeast"/>
      <w:contextualSpacing/>
      <w:outlineLvl w:val="0"/>
    </w:pPr>
    <w:rPr>
      <w:rFonts w:ascii="Arial" w:eastAsiaTheme="majorEastAsia" w:hAnsi="Arial" w:cstheme="majorBidi"/>
      <w:b/>
      <w:bCs/>
      <w:color w:val="FFFFFF" w:themeColor="background1"/>
      <w:spacing w:val="-4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00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EC002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0024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C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0024"/>
    <w:rPr>
      <w:rFonts w:ascii="Arial" w:eastAsiaTheme="majorEastAsia" w:hAnsi="Arial" w:cstheme="majorBidi"/>
      <w:b/>
      <w:bCs/>
      <w:color w:val="FFFFFF" w:themeColor="background1"/>
      <w:spacing w:val="-4"/>
      <w:sz w:val="36"/>
      <w:szCs w:val="28"/>
    </w:rPr>
  </w:style>
  <w:style w:type="paragraph" w:customStyle="1" w:styleId="Default">
    <w:name w:val="Default"/>
    <w:rsid w:val="00192A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5E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1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A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92"/>
  </w:style>
  <w:style w:type="paragraph" w:styleId="Footer">
    <w:name w:val="footer"/>
    <w:basedOn w:val="Normal"/>
    <w:link w:val="FooterChar"/>
    <w:uiPriority w:val="99"/>
    <w:unhideWhenUsed/>
    <w:rsid w:val="00646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7CDC-6856-4AAF-BF34-31713DBF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7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Governmnet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BAYLY, Max</dc:creator>
  <cp:keywords/>
  <dc:description/>
  <cp:lastModifiedBy>WEEKES, Sally</cp:lastModifiedBy>
  <cp:revision>74</cp:revision>
  <dcterms:created xsi:type="dcterms:W3CDTF">2020-08-19T22:17:00Z</dcterms:created>
  <dcterms:modified xsi:type="dcterms:W3CDTF">2020-12-08T05:39:00Z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a13f53c3-a75a-409f-8882-21d9ed8e4a22</vt:lpwstr>
  </property>
  <property fmtid="{D5CDD505-2E9C-101B-9397-08002B2CF9AE}" pid="3" name="SEC">
    <vt:lpwstr>UNOFFICIAL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