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47D2151" w14:textId="271A6DAD" w:rsidR="00F24D13" w:rsidRPr="00163134" w:rsidRDefault="00F24D13" w:rsidP="00F24D13">
      <w:pPr>
        <w:spacing w:after="200" w:line="276" w:lineRule="auto"/>
        <w:rPr>
          <w:rFonts w:cstheme="minorHAnsi"/>
        </w:rPr>
      </w:pPr>
      <w:r w:rsidRPr="00163134">
        <w:rPr>
          <w:rFonts w:cstheme="minorHAnsi"/>
        </w:rPr>
        <w:t>Upper</w:t>
      </w:r>
      <w:r w:rsidR="002B6BEE" w:rsidRPr="00163134">
        <w:rPr>
          <w:rFonts w:cstheme="minorHAnsi"/>
        </w:rPr>
        <w:t>-</w:t>
      </w:r>
      <w:r w:rsidR="00163134" w:rsidRPr="00163134">
        <w:rPr>
          <w:rFonts w:cstheme="minorHAnsi"/>
        </w:rPr>
        <w:t>s</w:t>
      </w:r>
      <w:r w:rsidRPr="00163134">
        <w:rPr>
          <w:rFonts w:cstheme="minorHAnsi"/>
        </w:rPr>
        <w:t>lope Dogfish Management Strategy</w:t>
      </w:r>
      <w:r w:rsidR="00CA42B0">
        <w:rPr>
          <w:rFonts w:cstheme="minorHAnsi"/>
        </w:rPr>
        <w:t xml:space="preserve"> (the Strategy)</w:t>
      </w:r>
      <w:r w:rsidRPr="00163134">
        <w:rPr>
          <w:rFonts w:cstheme="minorHAnsi"/>
        </w:rPr>
        <w:t xml:space="preserve"> review - summary table of elements/questions that are being considered as part of the review including industry proposals, scientific advice and</w:t>
      </w:r>
      <w:r w:rsidR="00D90229">
        <w:rPr>
          <w:rFonts w:cstheme="minorHAnsi"/>
        </w:rPr>
        <w:t xml:space="preserve"> the Australian Fisheries Management Authority’s</w:t>
      </w:r>
      <w:r w:rsidRPr="00163134">
        <w:rPr>
          <w:rFonts w:cstheme="minorHAnsi"/>
        </w:rPr>
        <w:t xml:space="preserve"> </w:t>
      </w:r>
      <w:r w:rsidR="00D90229">
        <w:rPr>
          <w:rFonts w:cstheme="minorHAnsi"/>
        </w:rPr>
        <w:t>(</w:t>
      </w:r>
      <w:r w:rsidRPr="00163134">
        <w:rPr>
          <w:rFonts w:cstheme="minorHAnsi"/>
        </w:rPr>
        <w:t>AFMA</w:t>
      </w:r>
      <w:r w:rsidR="00D90229">
        <w:rPr>
          <w:rFonts w:cstheme="minorHAnsi"/>
        </w:rPr>
        <w:t>)</w:t>
      </w:r>
      <w:r w:rsidRPr="00163134">
        <w:rPr>
          <w:rFonts w:cstheme="minorHAnsi"/>
        </w:rPr>
        <w:t xml:space="preserve"> draft position in relation to each element. </w:t>
      </w:r>
    </w:p>
    <w:tbl>
      <w:tblPr>
        <w:tblStyle w:val="AFMA-default"/>
        <w:tblW w:w="4973" w:type="pct"/>
        <w:tblLook w:val="04A0" w:firstRow="1" w:lastRow="0" w:firstColumn="1" w:lastColumn="0" w:noHBand="0" w:noVBand="1"/>
      </w:tblPr>
      <w:tblGrid>
        <w:gridCol w:w="3469"/>
        <w:gridCol w:w="3468"/>
        <w:gridCol w:w="3468"/>
        <w:gridCol w:w="3468"/>
      </w:tblGrid>
      <w:tr w:rsidR="00F24D13" w:rsidRPr="00163134" w14:paraId="557DA5BA" w14:textId="77777777" w:rsidTr="00413776">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F73E43C" w14:textId="77777777" w:rsidR="00F24D13" w:rsidRPr="00163134" w:rsidRDefault="00F24D13" w:rsidP="00F24D13">
            <w:pPr>
              <w:spacing w:after="0" w:line="276" w:lineRule="auto"/>
              <w:contextualSpacing/>
              <w:rPr>
                <w:rFonts w:asciiTheme="minorHAnsi" w:hAnsiTheme="minorHAnsi" w:cstheme="minorHAnsi"/>
                <w:sz w:val="22"/>
              </w:rPr>
            </w:pPr>
            <w:r w:rsidRPr="00163134">
              <w:rPr>
                <w:rFonts w:asciiTheme="minorHAnsi" w:hAnsiTheme="minorHAnsi" w:cstheme="minorHAnsi"/>
                <w:sz w:val="22"/>
              </w:rPr>
              <w:t>Element</w:t>
            </w:r>
          </w:p>
        </w:tc>
        <w:tc>
          <w:tcPr>
            <w:tcW w:w="1250" w:type="pct"/>
          </w:tcPr>
          <w:p w14:paraId="2C07BA66" w14:textId="77777777" w:rsidR="00F24D13" w:rsidRPr="00163134" w:rsidRDefault="00F24D13" w:rsidP="00F24D13">
            <w:pPr>
              <w:spacing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163134">
              <w:rPr>
                <w:rFonts w:asciiTheme="minorHAnsi" w:hAnsiTheme="minorHAnsi" w:cstheme="minorHAnsi"/>
                <w:sz w:val="22"/>
              </w:rPr>
              <w:t>Justification</w:t>
            </w:r>
          </w:p>
        </w:tc>
        <w:tc>
          <w:tcPr>
            <w:tcW w:w="1250" w:type="pct"/>
          </w:tcPr>
          <w:p w14:paraId="3F86A469" w14:textId="6A77E4DA" w:rsidR="00F24D13" w:rsidRPr="00163134" w:rsidRDefault="00F24D13" w:rsidP="00F24D13">
            <w:pPr>
              <w:spacing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163134">
              <w:rPr>
                <w:rFonts w:asciiTheme="minorHAnsi" w:hAnsiTheme="minorHAnsi" w:cstheme="minorHAnsi"/>
                <w:sz w:val="22"/>
              </w:rPr>
              <w:t>Scientific Advice (2019</w:t>
            </w:r>
            <w:r w:rsidR="00BA074F" w:rsidRPr="00163134">
              <w:rPr>
                <w:rFonts w:asciiTheme="minorHAnsi" w:hAnsiTheme="minorHAnsi" w:cstheme="minorHAnsi"/>
                <w:sz w:val="22"/>
              </w:rPr>
              <w:t>-20</w:t>
            </w:r>
            <w:r w:rsidRPr="00163134">
              <w:rPr>
                <w:rFonts w:asciiTheme="minorHAnsi" w:hAnsiTheme="minorHAnsi" w:cstheme="minorHAnsi"/>
                <w:sz w:val="22"/>
              </w:rPr>
              <w:t>)</w:t>
            </w:r>
          </w:p>
        </w:tc>
        <w:tc>
          <w:tcPr>
            <w:tcW w:w="1250" w:type="pct"/>
          </w:tcPr>
          <w:p w14:paraId="2B5E2351" w14:textId="77777777" w:rsidR="00F24D13" w:rsidRPr="00163134" w:rsidRDefault="00F24D13" w:rsidP="00F24D13">
            <w:pPr>
              <w:spacing w:after="0" w:line="276" w:lineRule="auto"/>
              <w:contextualSpacing/>
              <w:cnfStyle w:val="100000000000" w:firstRow="1" w:lastRow="0" w:firstColumn="0" w:lastColumn="0" w:oddVBand="0" w:evenVBand="0" w:oddHBand="0" w:evenHBand="0" w:firstRowFirstColumn="0" w:firstRowLastColumn="0" w:lastRowFirstColumn="0" w:lastRowLastColumn="0"/>
              <w:rPr>
                <w:rFonts w:asciiTheme="minorHAnsi" w:hAnsiTheme="minorHAnsi" w:cstheme="minorHAnsi"/>
                <w:sz w:val="22"/>
              </w:rPr>
            </w:pPr>
            <w:r w:rsidRPr="00163134">
              <w:rPr>
                <w:rFonts w:asciiTheme="minorHAnsi" w:hAnsiTheme="minorHAnsi" w:cstheme="minorHAnsi"/>
                <w:sz w:val="22"/>
              </w:rPr>
              <w:t>Proposed AFMA position</w:t>
            </w:r>
          </w:p>
        </w:tc>
      </w:tr>
      <w:tr w:rsidR="00F24D13" w:rsidRPr="00163134" w14:paraId="5E374DC8" w14:textId="77777777" w:rsidTr="00413776">
        <w:tc>
          <w:tcPr>
            <w:cnfStyle w:val="001000000000" w:firstRow="0" w:lastRow="0" w:firstColumn="1" w:lastColumn="0" w:oddVBand="0" w:evenVBand="0" w:oddHBand="0" w:evenHBand="0" w:firstRowFirstColumn="0" w:firstRowLastColumn="0" w:lastRowFirstColumn="0" w:lastRowLastColumn="0"/>
            <w:tcW w:w="1250" w:type="pct"/>
          </w:tcPr>
          <w:p w14:paraId="504BBF77" w14:textId="77777777" w:rsidR="00F24D13" w:rsidRPr="00163134" w:rsidRDefault="00F24D13" w:rsidP="00F24D13">
            <w:pPr>
              <w:numPr>
                <w:ilvl w:val="0"/>
                <w:numId w:val="1"/>
              </w:numPr>
              <w:spacing w:after="0" w:line="276" w:lineRule="auto"/>
              <w:ind w:left="306" w:hanging="284"/>
              <w:contextualSpacing/>
              <w:rPr>
                <w:rFonts w:asciiTheme="minorHAnsi" w:hAnsiTheme="minorHAnsi" w:cstheme="minorHAnsi"/>
              </w:rPr>
            </w:pPr>
            <w:r w:rsidRPr="00163134">
              <w:rPr>
                <w:rFonts w:asciiTheme="minorHAnsi" w:hAnsiTheme="minorHAnsi" w:cstheme="minorHAnsi"/>
              </w:rPr>
              <w:t xml:space="preserve">Is the rebuilding timeframe of three mean generation times still appropriate? </w:t>
            </w:r>
          </w:p>
          <w:p w14:paraId="04FD0B7B" w14:textId="77777777" w:rsidR="00F24D13" w:rsidRPr="00163134" w:rsidRDefault="00F24D13" w:rsidP="00F24D13">
            <w:pPr>
              <w:spacing w:after="0" w:line="276" w:lineRule="auto"/>
              <w:ind w:left="22"/>
              <w:rPr>
                <w:rFonts w:asciiTheme="minorHAnsi" w:hAnsiTheme="minorHAnsi" w:cstheme="minorHAnsi"/>
              </w:rPr>
            </w:pPr>
          </w:p>
          <w:p w14:paraId="7AAE1997" w14:textId="1B2C2000" w:rsidR="00F24D13" w:rsidRPr="00163134" w:rsidRDefault="00F24D13" w:rsidP="002B6BEE">
            <w:pPr>
              <w:spacing w:after="0" w:line="276" w:lineRule="auto"/>
              <w:ind w:left="306"/>
              <w:contextualSpacing/>
              <w:rPr>
                <w:rFonts w:asciiTheme="minorHAnsi" w:hAnsiTheme="minorHAnsi" w:cstheme="minorHAnsi"/>
                <w:b w:val="0"/>
                <w:i/>
              </w:rPr>
            </w:pPr>
            <w:r w:rsidRPr="00163134">
              <w:rPr>
                <w:rFonts w:asciiTheme="minorHAnsi" w:hAnsiTheme="minorHAnsi" w:cstheme="minorHAnsi"/>
                <w:b w:val="0"/>
                <w:i/>
              </w:rPr>
              <w:t>The Commonwealth Fisheries Harvest Strategy Policy (HSP) and Guidelines (2007) defined typical rebuilding timeframes as the minimum of 1) the mean generation time plus ten years, or 2) three times the mean generation time, noting that the mean generation time is defined as the average age of a reproductively mature animal in an unexploited population. This approach remains consistent with the rebuilding timeframes described in the revised HSP Guidelines, 2</w:t>
            </w:r>
            <w:r w:rsidRPr="00163134">
              <w:rPr>
                <w:rFonts w:asciiTheme="minorHAnsi" w:hAnsiTheme="minorHAnsi" w:cstheme="minorHAnsi"/>
                <w:b w:val="0"/>
                <w:i/>
                <w:vertAlign w:val="superscript"/>
              </w:rPr>
              <w:t>nd</w:t>
            </w:r>
            <w:r w:rsidRPr="00163134">
              <w:rPr>
                <w:rFonts w:asciiTheme="minorHAnsi" w:hAnsiTheme="minorHAnsi" w:cstheme="minorHAnsi"/>
                <w:b w:val="0"/>
                <w:i/>
              </w:rPr>
              <w:t xml:space="preserve"> edition, 2018.</w:t>
            </w:r>
          </w:p>
        </w:tc>
        <w:tc>
          <w:tcPr>
            <w:tcW w:w="1250" w:type="pct"/>
          </w:tcPr>
          <w:p w14:paraId="0418A0A2" w14:textId="3637924B" w:rsidR="00F24D13" w:rsidRPr="00163134" w:rsidRDefault="00F24D13"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Based on the HSP the recovery times for Harrisson’s </w:t>
            </w:r>
            <w:r w:rsidR="005766A9" w:rsidRPr="00163134">
              <w:rPr>
                <w:rFonts w:asciiTheme="minorHAnsi" w:hAnsiTheme="minorHAnsi" w:cstheme="minorHAnsi"/>
              </w:rPr>
              <w:t>dogfish</w:t>
            </w:r>
            <w:r w:rsidRPr="00163134">
              <w:rPr>
                <w:rFonts w:asciiTheme="minorHAnsi" w:hAnsiTheme="minorHAnsi" w:cstheme="minorHAnsi"/>
              </w:rPr>
              <w:t xml:space="preserve"> would be 38.5 years and for </w:t>
            </w:r>
            <w:r w:rsidR="005766A9" w:rsidRPr="00163134">
              <w:rPr>
                <w:rFonts w:asciiTheme="minorHAnsi" w:hAnsiTheme="minorHAnsi" w:cstheme="minorHAnsi"/>
              </w:rPr>
              <w:t>southern dogfish</w:t>
            </w:r>
            <w:r w:rsidRPr="00163134">
              <w:rPr>
                <w:rFonts w:asciiTheme="minorHAnsi" w:hAnsiTheme="minorHAnsi" w:cstheme="minorHAnsi"/>
              </w:rPr>
              <w:t xml:space="preserve"> 30.5 years. The Scientific Working Group (SWG) </w:t>
            </w:r>
            <w:r w:rsidR="000E1FC4" w:rsidRPr="00163134">
              <w:rPr>
                <w:rFonts w:asciiTheme="minorHAnsi" w:hAnsiTheme="minorHAnsi" w:cstheme="minorHAnsi"/>
              </w:rPr>
              <w:t xml:space="preserve">that was established </w:t>
            </w:r>
            <w:r w:rsidR="00184FB3" w:rsidRPr="00163134">
              <w:rPr>
                <w:rFonts w:asciiTheme="minorHAnsi" w:hAnsiTheme="minorHAnsi" w:cstheme="minorHAnsi"/>
              </w:rPr>
              <w:t xml:space="preserve">to inform the development of the Strategy </w:t>
            </w:r>
            <w:r w:rsidRPr="00163134">
              <w:rPr>
                <w:rFonts w:asciiTheme="minorHAnsi" w:hAnsiTheme="minorHAnsi" w:cstheme="minorHAnsi"/>
              </w:rPr>
              <w:t>did not support the use of this standard calculation of recovery time for either species for the following reasons:</w:t>
            </w:r>
          </w:p>
          <w:p w14:paraId="3FD7142F" w14:textId="4F7862DD" w:rsidR="00F24D13" w:rsidRPr="00163134" w:rsidRDefault="00F24D13"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a. The calculation of the recovery time is based on teleost species for which recruitment processes are different than for slow reproducing gulper sharks. The very low reproductive rates of gulper sharks (one pup every one to three years) means that if the stocks are well below </w:t>
            </w:r>
            <w:r w:rsidR="00931355">
              <w:rPr>
                <w:rFonts w:asciiTheme="minorHAnsi" w:hAnsiTheme="minorHAnsi" w:cstheme="minorHAnsi"/>
              </w:rPr>
              <w:t>their limit reference point, that is, the point beyond which the risk to the stock is regarded as unacceptably high (</w:t>
            </w:r>
            <w:r w:rsidRPr="00163134">
              <w:rPr>
                <w:rFonts w:asciiTheme="minorHAnsi" w:hAnsiTheme="minorHAnsi" w:cstheme="minorHAnsi"/>
              </w:rPr>
              <w:t>B</w:t>
            </w:r>
            <w:r w:rsidRPr="00163134">
              <w:rPr>
                <w:rFonts w:asciiTheme="minorHAnsi" w:hAnsiTheme="minorHAnsi" w:cstheme="minorHAnsi"/>
                <w:vertAlign w:val="subscript"/>
              </w:rPr>
              <w:t>LIM</w:t>
            </w:r>
            <w:r w:rsidR="00931355">
              <w:rPr>
                <w:rFonts w:asciiTheme="minorHAnsi" w:hAnsiTheme="minorHAnsi" w:cstheme="minorHAnsi"/>
                <w:vertAlign w:val="subscript"/>
              </w:rPr>
              <w:t>’</w:t>
            </w:r>
            <w:r w:rsidR="00931355">
              <w:rPr>
                <w:rFonts w:asciiTheme="minorHAnsi" w:hAnsiTheme="minorHAnsi" w:cstheme="minorHAnsi"/>
              </w:rPr>
              <w:t xml:space="preserve">) </w:t>
            </w:r>
            <w:r w:rsidRPr="00163134">
              <w:rPr>
                <w:rFonts w:asciiTheme="minorHAnsi" w:hAnsiTheme="minorHAnsi" w:cstheme="minorHAnsi"/>
              </w:rPr>
              <w:t xml:space="preserve">it would be highly unlikely to be able to recover </w:t>
            </w:r>
            <w:r w:rsidRPr="00163134">
              <w:rPr>
                <w:rFonts w:asciiTheme="minorHAnsi" w:hAnsiTheme="minorHAnsi" w:cstheme="minorHAnsi"/>
              </w:rPr>
              <w:lastRenderedPageBreak/>
              <w:t xml:space="preserve">the populations in the standard timeframe. </w:t>
            </w:r>
          </w:p>
          <w:p w14:paraId="392E24CB" w14:textId="106B18BA" w:rsidR="00F24D13" w:rsidRPr="00163134" w:rsidRDefault="00F24D13"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b. Given that the level of depletion in the populations is currently unknown</w:t>
            </w:r>
            <w:r w:rsidR="00D738B7">
              <w:rPr>
                <w:rFonts w:asciiTheme="minorHAnsi" w:hAnsiTheme="minorHAnsi" w:cstheme="minorHAnsi"/>
              </w:rPr>
              <w:t>, it is not feasible to</w:t>
            </w:r>
            <w:r w:rsidRPr="00163134">
              <w:rPr>
                <w:rFonts w:asciiTheme="minorHAnsi" w:hAnsiTheme="minorHAnsi" w:cstheme="minorHAnsi"/>
              </w:rPr>
              <w:t xml:space="preserve"> </w:t>
            </w:r>
            <w:r w:rsidR="00D738B7">
              <w:rPr>
                <w:rFonts w:asciiTheme="minorHAnsi" w:hAnsiTheme="minorHAnsi" w:cstheme="minorHAnsi"/>
              </w:rPr>
              <w:t>predict</w:t>
            </w:r>
            <w:r w:rsidR="00D738B7" w:rsidRPr="00163134">
              <w:rPr>
                <w:rFonts w:asciiTheme="minorHAnsi" w:hAnsiTheme="minorHAnsi" w:cstheme="minorHAnsi"/>
              </w:rPr>
              <w:t xml:space="preserve"> </w:t>
            </w:r>
            <w:r w:rsidRPr="00163134">
              <w:rPr>
                <w:rFonts w:asciiTheme="minorHAnsi" w:hAnsiTheme="minorHAnsi" w:cstheme="minorHAnsi"/>
              </w:rPr>
              <w:t xml:space="preserve">how long it will take for them to recover to either </w:t>
            </w:r>
            <w:r w:rsidR="00D90229">
              <w:rPr>
                <w:rFonts w:asciiTheme="minorHAnsi" w:hAnsiTheme="minorHAnsi" w:cstheme="minorHAnsi"/>
              </w:rPr>
              <w:t>a limit reference point of 2</w:t>
            </w:r>
            <w:r w:rsidR="00D738B7">
              <w:rPr>
                <w:rFonts w:asciiTheme="minorHAnsi" w:hAnsiTheme="minorHAnsi" w:cstheme="minorHAnsi"/>
              </w:rPr>
              <w:t>5</w:t>
            </w:r>
            <w:r w:rsidR="00D90229">
              <w:rPr>
                <w:rFonts w:asciiTheme="minorHAnsi" w:hAnsiTheme="minorHAnsi" w:cstheme="minorHAnsi"/>
              </w:rPr>
              <w:t>% of unfished biomass (</w:t>
            </w:r>
            <w:r w:rsidRPr="00163134">
              <w:rPr>
                <w:rFonts w:asciiTheme="minorHAnsi" w:hAnsiTheme="minorHAnsi" w:cstheme="minorHAnsi"/>
              </w:rPr>
              <w:t>B</w:t>
            </w:r>
            <w:r w:rsidRPr="00163134">
              <w:rPr>
                <w:rFonts w:asciiTheme="minorHAnsi" w:hAnsiTheme="minorHAnsi" w:cstheme="minorHAnsi"/>
                <w:vertAlign w:val="subscript"/>
              </w:rPr>
              <w:t>LIM</w:t>
            </w:r>
            <w:r w:rsidR="00D90229">
              <w:rPr>
                <w:rFonts w:asciiTheme="minorHAnsi" w:hAnsiTheme="minorHAnsi" w:cstheme="minorHAnsi"/>
              </w:rPr>
              <w:t xml:space="preserve">) </w:t>
            </w:r>
            <w:r w:rsidRPr="00163134">
              <w:rPr>
                <w:rFonts w:asciiTheme="minorHAnsi" w:hAnsiTheme="minorHAnsi" w:cstheme="minorHAnsi"/>
              </w:rPr>
              <w:t>or</w:t>
            </w:r>
            <w:r w:rsidR="00D90229">
              <w:rPr>
                <w:rFonts w:asciiTheme="minorHAnsi" w:hAnsiTheme="minorHAnsi" w:cstheme="minorHAnsi"/>
              </w:rPr>
              <w:t xml:space="preserve"> </w:t>
            </w:r>
            <w:r w:rsidR="00931355">
              <w:rPr>
                <w:rFonts w:asciiTheme="minorHAnsi" w:hAnsiTheme="minorHAnsi" w:cstheme="minorHAnsi"/>
              </w:rPr>
              <w:t xml:space="preserve">the desired ‘target’ biomass of the stock </w:t>
            </w:r>
            <w:r w:rsidR="00D90229">
              <w:rPr>
                <w:rFonts w:asciiTheme="minorHAnsi" w:hAnsiTheme="minorHAnsi" w:cstheme="minorHAnsi"/>
              </w:rPr>
              <w:t>which maximises economic yield</w:t>
            </w:r>
            <w:r w:rsidRPr="00163134">
              <w:rPr>
                <w:rFonts w:asciiTheme="minorHAnsi" w:hAnsiTheme="minorHAnsi" w:cstheme="minorHAnsi"/>
              </w:rPr>
              <w:t xml:space="preserve"> </w:t>
            </w:r>
            <w:r w:rsidR="00D90229">
              <w:rPr>
                <w:rFonts w:asciiTheme="minorHAnsi" w:hAnsiTheme="minorHAnsi" w:cstheme="minorHAnsi"/>
              </w:rPr>
              <w:t>(</w:t>
            </w:r>
            <w:r w:rsidRPr="00163134">
              <w:rPr>
                <w:rFonts w:asciiTheme="minorHAnsi" w:hAnsiTheme="minorHAnsi" w:cstheme="minorHAnsi"/>
              </w:rPr>
              <w:t>B</w:t>
            </w:r>
            <w:r w:rsidRPr="00163134">
              <w:rPr>
                <w:rFonts w:asciiTheme="minorHAnsi" w:hAnsiTheme="minorHAnsi" w:cstheme="minorHAnsi"/>
                <w:vertAlign w:val="subscript"/>
              </w:rPr>
              <w:t>TARG</w:t>
            </w:r>
            <w:r w:rsidR="00D90229">
              <w:rPr>
                <w:rFonts w:asciiTheme="minorHAnsi" w:hAnsiTheme="minorHAnsi" w:cstheme="minorHAnsi"/>
              </w:rPr>
              <w:t>)</w:t>
            </w:r>
            <w:r w:rsidRPr="00163134">
              <w:rPr>
                <w:rFonts w:asciiTheme="minorHAnsi" w:hAnsiTheme="minorHAnsi" w:cstheme="minorHAnsi"/>
              </w:rPr>
              <w:t xml:space="preserve">. </w:t>
            </w:r>
          </w:p>
          <w:p w14:paraId="3A4651CB" w14:textId="77777777" w:rsidR="00F24D13" w:rsidRPr="00163134" w:rsidRDefault="00F24D13"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The SWG suggested that recovery times will be many decades, and that until further research has been completed it is not feasible to set more definitive timeframes for recovery. In the interim, setting a recovery time of three times the generation time is likely to provide a more realistic estimate based on the biological characteristics of the species.</w:t>
            </w:r>
          </w:p>
        </w:tc>
        <w:tc>
          <w:tcPr>
            <w:tcW w:w="1250" w:type="pct"/>
          </w:tcPr>
          <w:p w14:paraId="36BCAE9D" w14:textId="77777777" w:rsidR="00F24D13" w:rsidRPr="00163134" w:rsidRDefault="00F24D13"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lastRenderedPageBreak/>
              <w:t>This component of the rebuilding strategy meets the requirements of the HSP and no new information is available which would alter the estimate of the rebuilding timeframe.</w:t>
            </w:r>
          </w:p>
        </w:tc>
        <w:tc>
          <w:tcPr>
            <w:tcW w:w="1250" w:type="pct"/>
          </w:tcPr>
          <w:p w14:paraId="7F839D04" w14:textId="77777777" w:rsidR="00F24D13" w:rsidRPr="00163134" w:rsidRDefault="00F24D13"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b/>
              </w:rPr>
              <w:t>No change</w:t>
            </w:r>
            <w:r w:rsidRPr="00163134">
              <w:rPr>
                <w:rFonts w:asciiTheme="minorHAnsi" w:hAnsiTheme="minorHAnsi" w:cstheme="minorHAnsi"/>
              </w:rPr>
              <w:t xml:space="preserve"> - AFMA is proposing no change to the rebuilding timeframe based on scientific advice that no new information is available justifying a change. The current timeframe is consistent with the revised (2018) HSP and Guidelines. </w:t>
            </w:r>
          </w:p>
          <w:p w14:paraId="772B9670" w14:textId="77777777" w:rsidR="00F24D13" w:rsidRPr="00163134" w:rsidRDefault="00F24D13"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tc>
      </w:tr>
      <w:tr w:rsidR="00F24D13" w:rsidRPr="00163134" w14:paraId="54ADDE5B" w14:textId="77777777" w:rsidTr="0041377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0AAFDEAE" w14:textId="6677BF3E" w:rsidR="00F24D13" w:rsidRPr="00163134" w:rsidRDefault="00D738B7" w:rsidP="00F24D13">
            <w:pPr>
              <w:numPr>
                <w:ilvl w:val="0"/>
                <w:numId w:val="1"/>
              </w:numPr>
              <w:spacing w:after="0" w:line="276" w:lineRule="auto"/>
              <w:ind w:left="306" w:hanging="284"/>
              <w:contextualSpacing/>
              <w:rPr>
                <w:rFonts w:asciiTheme="minorHAnsi" w:hAnsiTheme="minorHAnsi" w:cstheme="minorHAnsi"/>
                <w:b w:val="0"/>
              </w:rPr>
            </w:pPr>
            <w:r>
              <w:rPr>
                <w:rFonts w:asciiTheme="minorHAnsi" w:hAnsiTheme="minorHAnsi" w:cstheme="minorHAnsi"/>
                <w:b w:val="0"/>
              </w:rPr>
              <w:t>Adopting</w:t>
            </w:r>
            <w:r w:rsidR="00F24D13" w:rsidRPr="00163134">
              <w:rPr>
                <w:rFonts w:asciiTheme="minorHAnsi" w:hAnsiTheme="minorHAnsi" w:cstheme="minorHAnsi"/>
                <w:b w:val="0"/>
              </w:rPr>
              <w:t xml:space="preserve"> monitoring ‘Option 1a’ from research project</w:t>
            </w:r>
            <w:r>
              <w:rPr>
                <w:rFonts w:asciiTheme="minorHAnsi" w:hAnsiTheme="minorHAnsi" w:cstheme="minorHAnsi"/>
                <w:b w:val="0"/>
              </w:rPr>
              <w:t>:</w:t>
            </w:r>
            <w:r w:rsidR="00F24D13" w:rsidRPr="00163134">
              <w:rPr>
                <w:rFonts w:asciiTheme="minorHAnsi" w:hAnsiTheme="minorHAnsi" w:cstheme="minorHAnsi"/>
                <w:b w:val="0"/>
                <w:i/>
              </w:rPr>
              <w:t xml:space="preserve"> Research project to support the Upper slope dogfish management strategy: options for monitoring </w:t>
            </w:r>
            <w:r w:rsidR="00F24D13" w:rsidRPr="00163134">
              <w:rPr>
                <w:rFonts w:asciiTheme="minorHAnsi" w:hAnsiTheme="minorHAnsi" w:cstheme="minorHAnsi"/>
                <w:b w:val="0"/>
                <w:i/>
              </w:rPr>
              <w:lastRenderedPageBreak/>
              <w:t xml:space="preserve">the recovery of </w:t>
            </w:r>
            <w:r w:rsidR="005766A9" w:rsidRPr="00163134">
              <w:rPr>
                <w:rFonts w:asciiTheme="minorHAnsi" w:hAnsiTheme="minorHAnsi" w:cstheme="minorHAnsi"/>
                <w:b w:val="0"/>
                <w:i/>
              </w:rPr>
              <w:t xml:space="preserve">southern dogfish </w:t>
            </w:r>
            <w:r w:rsidR="00F24D13" w:rsidRPr="00163134">
              <w:rPr>
                <w:rFonts w:asciiTheme="minorHAnsi" w:hAnsiTheme="minorHAnsi" w:cstheme="minorHAnsi"/>
                <w:b w:val="0"/>
                <w:i/>
              </w:rPr>
              <w:t xml:space="preserve">and Harrisson’s </w:t>
            </w:r>
            <w:r w:rsidR="005766A9" w:rsidRPr="00163134">
              <w:rPr>
                <w:rFonts w:asciiTheme="minorHAnsi" w:hAnsiTheme="minorHAnsi" w:cstheme="minorHAnsi"/>
                <w:b w:val="0"/>
                <w:i/>
              </w:rPr>
              <w:t>d</w:t>
            </w:r>
            <w:r w:rsidR="00F24D13" w:rsidRPr="00163134">
              <w:rPr>
                <w:rFonts w:asciiTheme="minorHAnsi" w:hAnsiTheme="minorHAnsi" w:cstheme="minorHAnsi"/>
                <w:b w:val="0"/>
                <w:i/>
              </w:rPr>
              <w:t>ogfish” (Williams et al. 2018)</w:t>
            </w:r>
            <w:r w:rsidR="00163134" w:rsidRPr="00163134">
              <w:rPr>
                <w:rFonts w:asciiTheme="minorHAnsi" w:hAnsiTheme="minorHAnsi" w:cstheme="minorHAnsi"/>
                <w:b w:val="0"/>
                <w:i/>
              </w:rPr>
              <w:t>.</w:t>
            </w:r>
          </w:p>
          <w:p w14:paraId="17FE77B4" w14:textId="77777777" w:rsidR="00F24D13" w:rsidRPr="00163134" w:rsidRDefault="00F24D13" w:rsidP="00F24D13">
            <w:pPr>
              <w:spacing w:after="0" w:line="276" w:lineRule="auto"/>
              <w:rPr>
                <w:rFonts w:asciiTheme="minorHAnsi" w:hAnsiTheme="minorHAnsi" w:cstheme="minorHAnsi"/>
                <w:b w:val="0"/>
              </w:rPr>
            </w:pPr>
          </w:p>
          <w:p w14:paraId="1842FA9A" w14:textId="25933A74" w:rsidR="00F24D13" w:rsidRPr="00163134" w:rsidRDefault="00F24D13" w:rsidP="00852C3D">
            <w:pPr>
              <w:spacing w:after="0" w:line="276" w:lineRule="auto"/>
              <w:ind w:left="306"/>
              <w:contextualSpacing/>
              <w:rPr>
                <w:rFonts w:asciiTheme="minorHAnsi" w:hAnsiTheme="minorHAnsi" w:cstheme="minorHAnsi"/>
                <w:b w:val="0"/>
              </w:rPr>
            </w:pPr>
            <w:r w:rsidRPr="00163134">
              <w:rPr>
                <w:rFonts w:asciiTheme="minorHAnsi" w:hAnsiTheme="minorHAnsi" w:cstheme="minorHAnsi"/>
                <w:b w:val="0"/>
                <w:i/>
              </w:rPr>
              <w:t xml:space="preserve">Logbook data, verified through on-board observers and/or electronic monitoring, depending on the fishery, continues to be collected for all Commonwealth fisheries as part of routine catch reporting, including for dogfish. However, relative abundance of dogfish is expected to be measured most reliably within closures where there is no fishing (Williams et al. 2018) and consequently, requires fishery independent surveys. This is because logbook reporting is confounded by challenges in identifying species rapidly under the current handling practices required by the Strategy. For example, dogfish are required to be cut off the line as close to the water as possible by hook operators to </w:t>
            </w:r>
            <w:r w:rsidRPr="00163134">
              <w:rPr>
                <w:rFonts w:asciiTheme="minorHAnsi" w:hAnsiTheme="minorHAnsi" w:cstheme="minorHAnsi"/>
                <w:b w:val="0"/>
                <w:i/>
              </w:rPr>
              <w:lastRenderedPageBreak/>
              <w:t xml:space="preserve">maximise their chances of survival but this reduces the opportunity for accurate identification. Further, increases in abundance </w:t>
            </w:r>
            <w:r w:rsidR="00852C3D">
              <w:rPr>
                <w:rFonts w:asciiTheme="minorHAnsi" w:hAnsiTheme="minorHAnsi" w:cstheme="minorHAnsi"/>
                <w:b w:val="0"/>
                <w:i/>
              </w:rPr>
              <w:t>are</w:t>
            </w:r>
            <w:r w:rsidR="00852C3D" w:rsidRPr="00163134">
              <w:rPr>
                <w:rFonts w:asciiTheme="minorHAnsi" w:hAnsiTheme="minorHAnsi" w:cstheme="minorHAnsi"/>
                <w:b w:val="0"/>
                <w:i/>
              </w:rPr>
              <w:t xml:space="preserve"> </w:t>
            </w:r>
            <w:r w:rsidRPr="00163134">
              <w:rPr>
                <w:rFonts w:asciiTheme="minorHAnsi" w:hAnsiTheme="minorHAnsi" w:cstheme="minorHAnsi"/>
                <w:b w:val="0"/>
                <w:i/>
              </w:rPr>
              <w:t>expected to be higher within closures and therefore more readily detectable at this</w:t>
            </w:r>
            <w:r w:rsidRPr="00163134">
              <w:rPr>
                <w:rFonts w:asciiTheme="minorHAnsi" w:hAnsiTheme="minorHAnsi" w:cstheme="minorHAnsi"/>
                <w:b w:val="0"/>
              </w:rPr>
              <w:t xml:space="preserve"> </w:t>
            </w:r>
            <w:r w:rsidRPr="00163134">
              <w:rPr>
                <w:rFonts w:asciiTheme="minorHAnsi" w:hAnsiTheme="minorHAnsi" w:cstheme="minorHAnsi"/>
                <w:b w:val="0"/>
                <w:i/>
              </w:rPr>
              <w:t xml:space="preserve">stage of population recovery.   </w:t>
            </w:r>
          </w:p>
        </w:tc>
        <w:tc>
          <w:tcPr>
            <w:tcW w:w="1250" w:type="pct"/>
          </w:tcPr>
          <w:p w14:paraId="512185A1" w14:textId="34BC1B18" w:rsidR="00F24D13" w:rsidRPr="00163134" w:rsidRDefault="00836E79" w:rsidP="00836E79">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lastRenderedPageBreak/>
              <w:t>Williams et al. (2018) considered a</w:t>
            </w:r>
            <w:r w:rsidR="00F24D13" w:rsidRPr="00163134">
              <w:rPr>
                <w:rFonts w:asciiTheme="minorHAnsi" w:hAnsiTheme="minorHAnsi" w:cstheme="minorHAnsi"/>
              </w:rPr>
              <w:t xml:space="preserve"> suite of </w:t>
            </w:r>
            <w:r w:rsidRPr="00163134">
              <w:rPr>
                <w:rFonts w:asciiTheme="minorHAnsi" w:hAnsiTheme="minorHAnsi" w:cstheme="minorHAnsi"/>
              </w:rPr>
              <w:t>monitoring</w:t>
            </w:r>
            <w:r w:rsidR="00F24D13" w:rsidRPr="00163134">
              <w:rPr>
                <w:rFonts w:asciiTheme="minorHAnsi" w:hAnsiTheme="minorHAnsi" w:cstheme="minorHAnsi"/>
              </w:rPr>
              <w:t xml:space="preserve"> options </w:t>
            </w:r>
            <w:r w:rsidRPr="00163134">
              <w:rPr>
                <w:rFonts w:asciiTheme="minorHAnsi" w:hAnsiTheme="minorHAnsi" w:cstheme="minorHAnsi"/>
              </w:rPr>
              <w:t>in consultation with s</w:t>
            </w:r>
            <w:r w:rsidR="00F24D13" w:rsidRPr="00163134">
              <w:rPr>
                <w:rFonts w:asciiTheme="minorHAnsi" w:hAnsiTheme="minorHAnsi" w:cstheme="minorHAnsi"/>
              </w:rPr>
              <w:t xml:space="preserve">takeholders </w:t>
            </w:r>
            <w:r w:rsidRPr="00163134">
              <w:rPr>
                <w:rFonts w:asciiTheme="minorHAnsi" w:hAnsiTheme="minorHAnsi" w:cstheme="minorHAnsi"/>
              </w:rPr>
              <w:t>and identified a preferred option</w:t>
            </w:r>
            <w:r w:rsidR="00F24D13" w:rsidRPr="00163134">
              <w:rPr>
                <w:rFonts w:asciiTheme="minorHAnsi" w:hAnsiTheme="minorHAnsi" w:cstheme="minorHAnsi"/>
              </w:rPr>
              <w:t xml:space="preserve"> </w:t>
            </w:r>
            <w:r w:rsidR="00F24D13" w:rsidRPr="00163134">
              <w:rPr>
                <w:rFonts w:asciiTheme="minorHAnsi" w:hAnsiTheme="minorHAnsi" w:cstheme="minorHAnsi"/>
              </w:rPr>
              <w:lastRenderedPageBreak/>
              <w:t>“Option 1a”,</w:t>
            </w:r>
            <w:r w:rsidRPr="00163134">
              <w:rPr>
                <w:rFonts w:asciiTheme="minorHAnsi" w:hAnsiTheme="minorHAnsi" w:cstheme="minorHAnsi"/>
              </w:rPr>
              <w:t xml:space="preserve"> for monitoring the recovery of these species. </w:t>
            </w:r>
          </w:p>
        </w:tc>
        <w:tc>
          <w:tcPr>
            <w:tcW w:w="1250" w:type="pct"/>
          </w:tcPr>
          <w:p w14:paraId="0E103F31" w14:textId="77777777" w:rsidR="00F24D13" w:rsidRPr="00163134" w:rsidRDefault="00F24D13" w:rsidP="00F24D13">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lastRenderedPageBreak/>
              <w:t>Supports the use of ‘Option 1a’ as it will provide a comprehensive baseline and sufficient data for new power analyses to inform continued monitoring program.</w:t>
            </w:r>
          </w:p>
        </w:tc>
        <w:tc>
          <w:tcPr>
            <w:tcW w:w="1250" w:type="pct"/>
          </w:tcPr>
          <w:p w14:paraId="2054FC24" w14:textId="77777777" w:rsidR="00F24D13" w:rsidRPr="00163134" w:rsidRDefault="00F24D13" w:rsidP="00F24D13">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b/>
              </w:rPr>
              <w:t xml:space="preserve">Supported – </w:t>
            </w:r>
            <w:r w:rsidRPr="005766A9">
              <w:rPr>
                <w:rFonts w:asciiTheme="minorHAnsi" w:hAnsiTheme="minorHAnsi" w:cstheme="minorHAnsi"/>
              </w:rPr>
              <w:t>‘</w:t>
            </w:r>
            <w:r w:rsidRPr="00163134">
              <w:rPr>
                <w:rFonts w:asciiTheme="minorHAnsi" w:hAnsiTheme="minorHAnsi" w:cstheme="minorHAnsi"/>
              </w:rPr>
              <w:t>Option 1a’</w:t>
            </w:r>
            <w:r w:rsidRPr="00163134">
              <w:rPr>
                <w:rFonts w:asciiTheme="minorHAnsi" w:hAnsiTheme="minorHAnsi" w:cstheme="minorHAnsi"/>
                <w:b/>
              </w:rPr>
              <w:t xml:space="preserve"> </w:t>
            </w:r>
            <w:r w:rsidRPr="00163134">
              <w:rPr>
                <w:rFonts w:asciiTheme="minorHAnsi" w:hAnsiTheme="minorHAnsi" w:cstheme="minorHAnsi"/>
              </w:rPr>
              <w:t xml:space="preserve">includes the use of six dogfish reference areas, medium effort with four separate vessel charters, and the use of Deepwater Baited Remote </w:t>
            </w:r>
            <w:r w:rsidRPr="00163134">
              <w:rPr>
                <w:rFonts w:asciiTheme="minorHAnsi" w:hAnsiTheme="minorHAnsi" w:cstheme="minorHAnsi"/>
              </w:rPr>
              <w:lastRenderedPageBreak/>
              <w:t>Underwater Video System (DeepBRUVS) to collect additional data. It was identified by stakeholders as the preferred option for the base line survey.</w:t>
            </w:r>
          </w:p>
          <w:p w14:paraId="7759B389" w14:textId="77777777" w:rsidR="00F24D13" w:rsidRPr="00163134" w:rsidRDefault="00F24D13" w:rsidP="00F24D13">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47499364" w14:textId="77777777" w:rsidR="00F24D13" w:rsidRPr="00163134" w:rsidRDefault="00F24D13" w:rsidP="00F24D13">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Using DeepBRUVS is supported due to its long-term cost effectiveness.</w:t>
            </w:r>
          </w:p>
          <w:p w14:paraId="6CA850A5" w14:textId="77777777" w:rsidR="00F24D13" w:rsidRPr="00163134" w:rsidRDefault="00F24D13" w:rsidP="00F24D13">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p w14:paraId="102ACAAC" w14:textId="1A20D9F7" w:rsidR="00F24D13" w:rsidRPr="00163134" w:rsidRDefault="00C7734A" w:rsidP="002B6BEE">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Undertaking this project is the </w:t>
            </w:r>
            <w:r w:rsidR="00F24D13" w:rsidRPr="00163134">
              <w:rPr>
                <w:rFonts w:asciiTheme="minorHAnsi" w:hAnsiTheme="minorHAnsi" w:cstheme="minorHAnsi"/>
              </w:rPr>
              <w:t>high</w:t>
            </w:r>
            <w:r w:rsidRPr="00163134">
              <w:rPr>
                <w:rFonts w:asciiTheme="minorHAnsi" w:hAnsiTheme="minorHAnsi" w:cstheme="minorHAnsi"/>
              </w:rPr>
              <w:t>est</w:t>
            </w:r>
            <w:r w:rsidR="00F24D13" w:rsidRPr="00163134">
              <w:rPr>
                <w:rFonts w:asciiTheme="minorHAnsi" w:hAnsiTheme="minorHAnsi" w:cstheme="minorHAnsi"/>
              </w:rPr>
              <w:t xml:space="preserve"> priority </w:t>
            </w:r>
            <w:r w:rsidRPr="00163134">
              <w:rPr>
                <w:rFonts w:asciiTheme="minorHAnsi" w:hAnsiTheme="minorHAnsi" w:cstheme="minorHAnsi"/>
              </w:rPr>
              <w:t xml:space="preserve">for AFMA in terms of the Strategy </w:t>
            </w:r>
            <w:r w:rsidR="00F24D13" w:rsidRPr="00163134">
              <w:rPr>
                <w:rFonts w:asciiTheme="minorHAnsi" w:hAnsiTheme="minorHAnsi" w:cstheme="minorHAnsi"/>
              </w:rPr>
              <w:t xml:space="preserve">and forms the basis of the research </w:t>
            </w:r>
            <w:r w:rsidRPr="00163134">
              <w:rPr>
                <w:rFonts w:asciiTheme="minorHAnsi" w:hAnsiTheme="minorHAnsi" w:cstheme="minorHAnsi"/>
              </w:rPr>
              <w:t xml:space="preserve">and monitoring </w:t>
            </w:r>
            <w:r w:rsidR="00F24D13" w:rsidRPr="00163134">
              <w:rPr>
                <w:rFonts w:asciiTheme="minorHAnsi" w:hAnsiTheme="minorHAnsi" w:cstheme="minorHAnsi"/>
              </w:rPr>
              <w:t xml:space="preserve">plan for Harrisson’s and </w:t>
            </w:r>
            <w:r w:rsidR="005766A9" w:rsidRPr="00163134">
              <w:rPr>
                <w:rFonts w:asciiTheme="minorHAnsi" w:hAnsiTheme="minorHAnsi" w:cstheme="minorHAnsi"/>
              </w:rPr>
              <w:t>s</w:t>
            </w:r>
            <w:r w:rsidR="00F24D13" w:rsidRPr="00163134">
              <w:rPr>
                <w:rFonts w:asciiTheme="minorHAnsi" w:hAnsiTheme="minorHAnsi" w:cstheme="minorHAnsi"/>
              </w:rPr>
              <w:t xml:space="preserve">outhern dogfish. </w:t>
            </w:r>
            <w:r w:rsidRPr="00163134">
              <w:rPr>
                <w:rFonts w:asciiTheme="minorHAnsi" w:hAnsiTheme="minorHAnsi" w:cstheme="minorHAnsi"/>
              </w:rPr>
              <w:t>AFMA is currently identifying a source of funding to undertake the project.</w:t>
            </w:r>
          </w:p>
        </w:tc>
      </w:tr>
      <w:tr w:rsidR="00F24D13" w:rsidRPr="00163134" w14:paraId="50DFCBC0" w14:textId="77777777" w:rsidTr="00413776">
        <w:tc>
          <w:tcPr>
            <w:cnfStyle w:val="001000000000" w:firstRow="0" w:lastRow="0" w:firstColumn="1" w:lastColumn="0" w:oddVBand="0" w:evenVBand="0" w:oddHBand="0" w:evenHBand="0" w:firstRowFirstColumn="0" w:firstRowLastColumn="0" w:lastRowFirstColumn="0" w:lastRowLastColumn="0"/>
            <w:tcW w:w="1250" w:type="pct"/>
          </w:tcPr>
          <w:p w14:paraId="15A914F7" w14:textId="066D9E57" w:rsidR="00F24D13" w:rsidRPr="00163134" w:rsidRDefault="00F24D13" w:rsidP="00F24D13">
            <w:pPr>
              <w:numPr>
                <w:ilvl w:val="0"/>
                <w:numId w:val="1"/>
              </w:numPr>
              <w:spacing w:after="0" w:line="276" w:lineRule="auto"/>
              <w:ind w:left="306" w:hanging="284"/>
              <w:contextualSpacing/>
              <w:rPr>
                <w:rFonts w:asciiTheme="minorHAnsi" w:hAnsiTheme="minorHAnsi" w:cstheme="minorHAnsi"/>
              </w:rPr>
            </w:pPr>
            <w:r w:rsidRPr="00163134">
              <w:rPr>
                <w:rFonts w:asciiTheme="minorHAnsi" w:hAnsiTheme="minorHAnsi" w:cstheme="minorHAnsi"/>
                <w:u w:val="single"/>
              </w:rPr>
              <w:lastRenderedPageBreak/>
              <w:t xml:space="preserve">Industry </w:t>
            </w:r>
            <w:r w:rsidR="00BA48C1" w:rsidRPr="00163134">
              <w:rPr>
                <w:rFonts w:asciiTheme="minorHAnsi" w:hAnsiTheme="minorHAnsi" w:cstheme="minorHAnsi"/>
                <w:u w:val="single"/>
              </w:rPr>
              <w:t>p</w:t>
            </w:r>
            <w:r w:rsidRPr="00163134">
              <w:rPr>
                <w:rFonts w:asciiTheme="minorHAnsi" w:hAnsiTheme="minorHAnsi" w:cstheme="minorHAnsi"/>
                <w:u w:val="single"/>
              </w:rPr>
              <w:t>roposal</w:t>
            </w:r>
            <w:r w:rsidRPr="00163134">
              <w:rPr>
                <w:rFonts w:asciiTheme="minorHAnsi" w:hAnsiTheme="minorHAnsi" w:cstheme="minorHAnsi"/>
              </w:rPr>
              <w:t xml:space="preserve"> - request to allow dropline fishing in all dogfish closures within the area of the </w:t>
            </w:r>
            <w:r w:rsidR="000C34EB" w:rsidRPr="00163134">
              <w:rPr>
                <w:rFonts w:asciiTheme="minorHAnsi" w:hAnsiTheme="minorHAnsi" w:cstheme="minorHAnsi"/>
              </w:rPr>
              <w:t xml:space="preserve">Gillnet, Hook and Trap (GHAT) sector </w:t>
            </w:r>
          </w:p>
          <w:p w14:paraId="1295F849" w14:textId="77777777" w:rsidR="00F24D13" w:rsidRPr="00163134" w:rsidRDefault="00F24D13" w:rsidP="00F24D13">
            <w:pPr>
              <w:spacing w:after="0" w:line="276" w:lineRule="auto"/>
              <w:rPr>
                <w:rFonts w:asciiTheme="minorHAnsi" w:hAnsiTheme="minorHAnsi" w:cstheme="minorHAnsi"/>
                <w:b w:val="0"/>
              </w:rPr>
            </w:pPr>
          </w:p>
          <w:p w14:paraId="50DDC8C0" w14:textId="45E69817" w:rsidR="00F24D13" w:rsidRPr="00163134" w:rsidRDefault="00F24D13" w:rsidP="00AF396E">
            <w:pPr>
              <w:spacing w:after="0" w:line="276" w:lineRule="auto"/>
              <w:ind w:left="306"/>
              <w:contextualSpacing/>
              <w:rPr>
                <w:rFonts w:asciiTheme="minorHAnsi" w:hAnsiTheme="minorHAnsi" w:cstheme="minorHAnsi"/>
                <w:b w:val="0"/>
              </w:rPr>
            </w:pPr>
            <w:r w:rsidRPr="00163134">
              <w:rPr>
                <w:rFonts w:asciiTheme="minorHAnsi" w:hAnsiTheme="minorHAnsi" w:cstheme="minorHAnsi"/>
                <w:b w:val="0"/>
                <w:i/>
              </w:rPr>
              <w:t xml:space="preserve">There are a large number of closures across the Southern and Eastern Scalefish and Shark Fishery (SESSF) aimed at protecting dogfish, which exclude all fishing methods. This is on the basis that dogfish are susceptible to being caught by trawl, hook and gillnet fishing methods. Factors considered to improve survival rates from hook caught sharks are:  dynamic </w:t>
            </w:r>
            <w:r w:rsidRPr="00163134">
              <w:rPr>
                <w:rFonts w:asciiTheme="minorHAnsi" w:hAnsiTheme="minorHAnsi" w:cstheme="minorHAnsi"/>
                <w:b w:val="0"/>
                <w:i/>
              </w:rPr>
              <w:lastRenderedPageBreak/>
              <w:t>targeting of target species, short soak time which allows sharks to be brought to the surface in relatively good condition and low numbers of fish landed together (maximum 18 based on the number of hooks set). Changes to these factors is expected to result in greater impacts on gulper sharks from other fishing techniques. Dropline gear typically is not dynamic in that it is a set line that does not remain attached to the boat, soak times can vary and more than 18 hooks are generally set.</w:t>
            </w:r>
          </w:p>
        </w:tc>
        <w:tc>
          <w:tcPr>
            <w:tcW w:w="1250" w:type="pct"/>
          </w:tcPr>
          <w:p w14:paraId="676B53BA" w14:textId="2FC9D7D2" w:rsidR="00F24D13" w:rsidRPr="00163134" w:rsidRDefault="00F24D13" w:rsidP="006132AC">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lastRenderedPageBreak/>
              <w:t xml:space="preserve">Industry </w:t>
            </w:r>
            <w:r w:rsidR="006132AC" w:rsidRPr="00163134">
              <w:rPr>
                <w:rFonts w:asciiTheme="minorHAnsi" w:hAnsiTheme="minorHAnsi" w:cstheme="minorHAnsi"/>
              </w:rPr>
              <w:t xml:space="preserve">is </w:t>
            </w:r>
            <w:r w:rsidRPr="00163134">
              <w:rPr>
                <w:rFonts w:asciiTheme="minorHAnsi" w:hAnsiTheme="minorHAnsi" w:cstheme="minorHAnsi"/>
              </w:rPr>
              <w:t>seek</w:t>
            </w:r>
            <w:r w:rsidR="000E6488" w:rsidRPr="00163134">
              <w:rPr>
                <w:rFonts w:asciiTheme="minorHAnsi" w:hAnsiTheme="minorHAnsi" w:cstheme="minorHAnsi"/>
              </w:rPr>
              <w:t>ing</w:t>
            </w:r>
            <w:r w:rsidR="006132AC" w:rsidRPr="00163134">
              <w:rPr>
                <w:rFonts w:asciiTheme="minorHAnsi" w:hAnsiTheme="minorHAnsi" w:cstheme="minorHAnsi"/>
              </w:rPr>
              <w:t xml:space="preserve"> authorisation for </w:t>
            </w:r>
            <w:r w:rsidRPr="00163134">
              <w:rPr>
                <w:rFonts w:asciiTheme="minorHAnsi" w:hAnsiTheme="minorHAnsi" w:cstheme="minorHAnsi"/>
              </w:rPr>
              <w:t>dropline fishing, which is a form of setline, in all dogfish closures from which this method is currently excluded. This is on the basis that in their view, dropline operators can avoid interactions with dogfish by modifying how they set their gear.</w:t>
            </w:r>
          </w:p>
        </w:tc>
        <w:tc>
          <w:tcPr>
            <w:tcW w:w="1250" w:type="pct"/>
          </w:tcPr>
          <w:p w14:paraId="1B77E894" w14:textId="370FC7C3" w:rsidR="00F24D13" w:rsidRPr="00163134" w:rsidRDefault="00F24D13"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There is high likelihood of encountering and hooking dogfish, and high likelihood of capture mortality. For these reasons, this proposal represents an appreciable risk to reducing the efficacy of the Strategy.</w:t>
            </w:r>
          </w:p>
          <w:p w14:paraId="736F5FED" w14:textId="77777777" w:rsidR="006132AC" w:rsidRPr="00163134" w:rsidRDefault="006132AC" w:rsidP="00F24D13">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p>
          <w:p w14:paraId="62223FB8" w14:textId="29EEE511" w:rsidR="00F24D13" w:rsidRPr="00163134" w:rsidRDefault="00F24D13" w:rsidP="00306BAB">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Additional research would need to be undertaken to support this position and </w:t>
            </w:r>
            <w:r w:rsidR="000E6488" w:rsidRPr="00163134">
              <w:rPr>
                <w:rFonts w:asciiTheme="minorHAnsi" w:hAnsiTheme="minorHAnsi" w:cstheme="minorHAnsi"/>
              </w:rPr>
              <w:t>i</w:t>
            </w:r>
            <w:r w:rsidRPr="00163134">
              <w:rPr>
                <w:rFonts w:asciiTheme="minorHAnsi" w:hAnsiTheme="minorHAnsi" w:cstheme="minorHAnsi"/>
              </w:rPr>
              <w:t>t does not seem practically possible to overcome the issue of long dropline soak times</w:t>
            </w:r>
            <w:r w:rsidR="000E6488" w:rsidRPr="00163134">
              <w:rPr>
                <w:rFonts w:asciiTheme="minorHAnsi" w:hAnsiTheme="minorHAnsi" w:cstheme="minorHAnsi"/>
              </w:rPr>
              <w:t>. T</w:t>
            </w:r>
            <w:r w:rsidRPr="00163134">
              <w:rPr>
                <w:rFonts w:asciiTheme="minorHAnsi" w:hAnsiTheme="minorHAnsi" w:cstheme="minorHAnsi"/>
              </w:rPr>
              <w:t>his was one of the reasons that droplining was not considered appropriate as a monitoring method by the Monitoring Strategy Workshops.</w:t>
            </w:r>
          </w:p>
        </w:tc>
        <w:tc>
          <w:tcPr>
            <w:tcW w:w="1250" w:type="pct"/>
          </w:tcPr>
          <w:p w14:paraId="56F35A65" w14:textId="1444BBF2" w:rsidR="00F24D13" w:rsidRPr="00163134" w:rsidRDefault="00F24D13" w:rsidP="006132AC">
            <w:pPr>
              <w:spacing w:after="0" w:line="276" w:lineRule="auto"/>
              <w:contextualSpacing/>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b/>
              </w:rPr>
              <w:t>No change</w:t>
            </w:r>
            <w:r w:rsidRPr="00163134">
              <w:rPr>
                <w:rFonts w:asciiTheme="minorHAnsi" w:hAnsiTheme="minorHAnsi" w:cstheme="minorHAnsi"/>
              </w:rPr>
              <w:t xml:space="preserve"> - AFMA does not support dropline fishing in existing dogfish closures and recognises that robust research would need to be undertaken to review the likely impacts of such operations, before considering any proposals. It is also expected that </w:t>
            </w:r>
            <w:r w:rsidR="006132AC" w:rsidRPr="00163134">
              <w:rPr>
                <w:rFonts w:asciiTheme="minorHAnsi" w:hAnsiTheme="minorHAnsi" w:cstheme="minorHAnsi"/>
              </w:rPr>
              <w:t>if it was proven possible to fish with no impact on dogfish that it</w:t>
            </w:r>
            <w:r w:rsidRPr="00163134">
              <w:rPr>
                <w:rFonts w:asciiTheme="minorHAnsi" w:hAnsiTheme="minorHAnsi" w:cstheme="minorHAnsi"/>
              </w:rPr>
              <w:t xml:space="preserve"> would require an ongoing, high level of monitoring, the cost of which w</w:t>
            </w:r>
            <w:r w:rsidR="006132AC" w:rsidRPr="00163134">
              <w:rPr>
                <w:rFonts w:asciiTheme="minorHAnsi" w:hAnsiTheme="minorHAnsi" w:cstheme="minorHAnsi"/>
              </w:rPr>
              <w:t xml:space="preserve">ould be recovered from industry. </w:t>
            </w:r>
          </w:p>
        </w:tc>
      </w:tr>
      <w:tr w:rsidR="00F24D13" w:rsidRPr="00163134" w14:paraId="574D5076" w14:textId="77777777" w:rsidTr="00984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349876A4" w14:textId="386E3F85" w:rsidR="00F24D13" w:rsidRPr="00163134" w:rsidRDefault="00F24D13" w:rsidP="00F24D13">
            <w:pPr>
              <w:numPr>
                <w:ilvl w:val="0"/>
                <w:numId w:val="1"/>
              </w:numPr>
              <w:spacing w:after="0" w:line="276" w:lineRule="auto"/>
              <w:ind w:left="306" w:hanging="284"/>
              <w:contextualSpacing/>
              <w:rPr>
                <w:rFonts w:asciiTheme="minorHAnsi" w:hAnsiTheme="minorHAnsi" w:cstheme="minorHAnsi"/>
              </w:rPr>
            </w:pPr>
            <w:r w:rsidRPr="00163134">
              <w:rPr>
                <w:rFonts w:asciiTheme="minorHAnsi" w:hAnsiTheme="minorHAnsi" w:cstheme="minorHAnsi"/>
                <w:u w:val="single"/>
              </w:rPr>
              <w:t xml:space="preserve">Industry </w:t>
            </w:r>
            <w:r w:rsidR="00BA48C1" w:rsidRPr="00163134">
              <w:rPr>
                <w:rFonts w:asciiTheme="minorHAnsi" w:hAnsiTheme="minorHAnsi" w:cstheme="minorHAnsi"/>
                <w:u w:val="single"/>
              </w:rPr>
              <w:t>p</w:t>
            </w:r>
            <w:r w:rsidRPr="00163134">
              <w:rPr>
                <w:rFonts w:asciiTheme="minorHAnsi" w:hAnsiTheme="minorHAnsi" w:cstheme="minorHAnsi"/>
                <w:u w:val="single"/>
              </w:rPr>
              <w:t>roposal</w:t>
            </w:r>
            <w:r w:rsidRPr="00163134">
              <w:rPr>
                <w:rFonts w:asciiTheme="minorHAnsi" w:hAnsiTheme="minorHAnsi" w:cstheme="minorHAnsi"/>
              </w:rPr>
              <w:t xml:space="preserve"> – allow the retention of </w:t>
            </w:r>
            <w:r w:rsidRPr="00455C82">
              <w:rPr>
                <w:rFonts w:asciiTheme="minorHAnsi" w:hAnsiTheme="minorHAnsi" w:cstheme="minorHAnsi"/>
                <w:i/>
              </w:rPr>
              <w:t>Squalus</w:t>
            </w:r>
            <w:r w:rsidRPr="00163134">
              <w:rPr>
                <w:rFonts w:asciiTheme="minorHAnsi" w:hAnsiTheme="minorHAnsi" w:cstheme="minorHAnsi"/>
              </w:rPr>
              <w:t xml:space="preserve"> species, excluding </w:t>
            </w:r>
            <w:r w:rsidR="0097285B" w:rsidRPr="00163134">
              <w:rPr>
                <w:rFonts w:asciiTheme="minorHAnsi" w:hAnsiTheme="minorHAnsi" w:cstheme="minorHAnsi"/>
              </w:rPr>
              <w:t xml:space="preserve">greeneye spurdog </w:t>
            </w:r>
            <w:r w:rsidR="00845476" w:rsidRPr="00163134">
              <w:rPr>
                <w:rFonts w:asciiTheme="minorHAnsi" w:hAnsiTheme="minorHAnsi" w:cstheme="minorHAnsi"/>
              </w:rPr>
              <w:t>(</w:t>
            </w:r>
            <w:r w:rsidRPr="00455C82">
              <w:rPr>
                <w:rFonts w:asciiTheme="minorHAnsi" w:hAnsiTheme="minorHAnsi" w:cstheme="minorHAnsi"/>
                <w:i/>
              </w:rPr>
              <w:t>S. chloroculus</w:t>
            </w:r>
            <w:r w:rsidR="00845476" w:rsidRPr="00163134">
              <w:rPr>
                <w:rFonts w:asciiTheme="minorHAnsi" w:hAnsiTheme="minorHAnsi" w:cstheme="minorHAnsi"/>
              </w:rPr>
              <w:t>)</w:t>
            </w:r>
            <w:r w:rsidRPr="00163134">
              <w:rPr>
                <w:rFonts w:asciiTheme="minorHAnsi" w:hAnsiTheme="minorHAnsi" w:cstheme="minorHAnsi"/>
              </w:rPr>
              <w:t xml:space="preserve">, by fishers </w:t>
            </w:r>
          </w:p>
          <w:p w14:paraId="580C4F03" w14:textId="77777777" w:rsidR="00F24D13" w:rsidRPr="00163134" w:rsidRDefault="00F24D13" w:rsidP="00F24D13">
            <w:pPr>
              <w:spacing w:after="0" w:line="276" w:lineRule="auto"/>
              <w:ind w:left="306"/>
              <w:contextualSpacing/>
              <w:rPr>
                <w:rFonts w:asciiTheme="minorHAnsi" w:hAnsiTheme="minorHAnsi" w:cstheme="minorHAnsi"/>
              </w:rPr>
            </w:pPr>
          </w:p>
          <w:p w14:paraId="6B401355" w14:textId="50B00381" w:rsidR="00F24D13" w:rsidRPr="00163134" w:rsidRDefault="00F24D13" w:rsidP="006132AC">
            <w:pPr>
              <w:spacing w:after="0" w:line="276" w:lineRule="auto"/>
              <w:ind w:left="306"/>
              <w:contextualSpacing/>
              <w:rPr>
                <w:rFonts w:asciiTheme="minorHAnsi" w:hAnsiTheme="minorHAnsi" w:cstheme="minorHAnsi"/>
                <w:i/>
              </w:rPr>
            </w:pPr>
            <w:r w:rsidRPr="00163134">
              <w:rPr>
                <w:rFonts w:asciiTheme="minorHAnsi" w:hAnsiTheme="minorHAnsi" w:cstheme="minorHAnsi"/>
                <w:b w:val="0"/>
                <w:i/>
              </w:rPr>
              <w:t>Currently retention of</w:t>
            </w:r>
            <w:r w:rsidR="006132AC" w:rsidRPr="00163134">
              <w:rPr>
                <w:rFonts w:asciiTheme="minorHAnsi" w:hAnsiTheme="minorHAnsi" w:cstheme="minorHAnsi"/>
                <w:b w:val="0"/>
                <w:i/>
              </w:rPr>
              <w:t xml:space="preserve"> all squ</w:t>
            </w:r>
            <w:r w:rsidR="00455C82">
              <w:rPr>
                <w:rFonts w:asciiTheme="minorHAnsi" w:hAnsiTheme="minorHAnsi" w:cstheme="minorHAnsi"/>
                <w:b w:val="0"/>
                <w:i/>
              </w:rPr>
              <w:t>al</w:t>
            </w:r>
            <w:r w:rsidR="006132AC" w:rsidRPr="00163134">
              <w:rPr>
                <w:rFonts w:asciiTheme="minorHAnsi" w:hAnsiTheme="minorHAnsi" w:cstheme="minorHAnsi"/>
                <w:b w:val="0"/>
                <w:i/>
              </w:rPr>
              <w:t xml:space="preserve">us species is prohibited on the basis that it is difficult to identify species of concern from those not of concern.  </w:t>
            </w:r>
          </w:p>
        </w:tc>
        <w:tc>
          <w:tcPr>
            <w:tcW w:w="1250" w:type="pct"/>
          </w:tcPr>
          <w:p w14:paraId="14329DA4" w14:textId="3EE5524C" w:rsidR="00F24D13" w:rsidRPr="00163134" w:rsidRDefault="000E6488" w:rsidP="00417294">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Industry is seeking authorisation to retain Squalidae species other than </w:t>
            </w:r>
            <w:r w:rsidR="0097285B">
              <w:rPr>
                <w:rFonts w:asciiTheme="minorHAnsi" w:hAnsiTheme="minorHAnsi" w:cstheme="minorHAnsi"/>
              </w:rPr>
              <w:t>green</w:t>
            </w:r>
            <w:r w:rsidR="0097285B" w:rsidRPr="00163134">
              <w:rPr>
                <w:rFonts w:asciiTheme="minorHAnsi" w:hAnsiTheme="minorHAnsi" w:cstheme="minorHAnsi"/>
              </w:rPr>
              <w:t>eye spurdo</w:t>
            </w:r>
            <w:r w:rsidRPr="00163134">
              <w:rPr>
                <w:rFonts w:asciiTheme="minorHAnsi" w:hAnsiTheme="minorHAnsi" w:cstheme="minorHAnsi"/>
              </w:rPr>
              <w:t>g (</w:t>
            </w:r>
            <w:r w:rsidRPr="00455C82">
              <w:rPr>
                <w:rFonts w:asciiTheme="minorHAnsi" w:hAnsiTheme="minorHAnsi" w:cstheme="minorHAnsi"/>
                <w:i/>
              </w:rPr>
              <w:t>S. chloroculus</w:t>
            </w:r>
            <w:r w:rsidRPr="00163134">
              <w:rPr>
                <w:rFonts w:asciiTheme="minorHAnsi" w:hAnsiTheme="minorHAnsi" w:cstheme="minorHAnsi"/>
              </w:rPr>
              <w:t xml:space="preserve">) if </w:t>
            </w:r>
            <w:r w:rsidR="00845476" w:rsidRPr="00163134">
              <w:rPr>
                <w:rFonts w:asciiTheme="minorHAnsi" w:hAnsiTheme="minorHAnsi" w:cstheme="minorHAnsi"/>
              </w:rPr>
              <w:t>fishers</w:t>
            </w:r>
            <w:r w:rsidRPr="00163134">
              <w:rPr>
                <w:rFonts w:asciiTheme="minorHAnsi" w:hAnsiTheme="minorHAnsi" w:cstheme="minorHAnsi"/>
              </w:rPr>
              <w:t xml:space="preserve"> can accurately identify and differentiate them from species managed under the Strategy</w:t>
            </w:r>
            <w:r w:rsidR="00845476" w:rsidRPr="00163134">
              <w:rPr>
                <w:rFonts w:asciiTheme="minorHAnsi" w:hAnsiTheme="minorHAnsi" w:cstheme="minorHAnsi"/>
              </w:rPr>
              <w:t>.</w:t>
            </w:r>
          </w:p>
        </w:tc>
        <w:tc>
          <w:tcPr>
            <w:tcW w:w="1250" w:type="pct"/>
          </w:tcPr>
          <w:p w14:paraId="74D6567F" w14:textId="53EFCBAF" w:rsidR="00F24D13" w:rsidRPr="00163134" w:rsidRDefault="00F24D13" w:rsidP="002B239F">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The key to effective good handling of non-retained sharks and the retention of other </w:t>
            </w:r>
            <w:bookmarkStart w:id="0" w:name="_GoBack"/>
            <w:r w:rsidRPr="00455C82">
              <w:rPr>
                <w:rFonts w:asciiTheme="minorHAnsi" w:hAnsiTheme="minorHAnsi" w:cstheme="minorHAnsi"/>
                <w:i/>
              </w:rPr>
              <w:t>Squalus</w:t>
            </w:r>
            <w:r w:rsidRPr="00455C82">
              <w:rPr>
                <w:rFonts w:asciiTheme="minorHAnsi" w:hAnsiTheme="minorHAnsi" w:cstheme="minorHAnsi"/>
              </w:rPr>
              <w:t xml:space="preserve"> </w:t>
            </w:r>
            <w:r w:rsidRPr="00163134">
              <w:rPr>
                <w:rFonts w:asciiTheme="minorHAnsi" w:hAnsiTheme="minorHAnsi" w:cstheme="minorHAnsi"/>
              </w:rPr>
              <w:t>species</w:t>
            </w:r>
            <w:bookmarkEnd w:id="0"/>
            <w:r w:rsidRPr="00163134">
              <w:rPr>
                <w:rFonts w:asciiTheme="minorHAnsi" w:hAnsiTheme="minorHAnsi" w:cstheme="minorHAnsi"/>
              </w:rPr>
              <w:t xml:space="preserve">, is the ability of vessel crew to recognise Centrophoridae (gulper sharks) and </w:t>
            </w:r>
            <w:r w:rsidR="0097285B" w:rsidRPr="00163134">
              <w:rPr>
                <w:rFonts w:asciiTheme="minorHAnsi" w:hAnsiTheme="minorHAnsi" w:cstheme="minorHAnsi"/>
              </w:rPr>
              <w:t xml:space="preserve">greeneye spurdog </w:t>
            </w:r>
            <w:r w:rsidRPr="00163134">
              <w:rPr>
                <w:rFonts w:asciiTheme="minorHAnsi" w:hAnsiTheme="minorHAnsi" w:cstheme="minorHAnsi"/>
              </w:rPr>
              <w:t>(</w:t>
            </w:r>
            <w:r w:rsidRPr="00455C82">
              <w:rPr>
                <w:rFonts w:asciiTheme="minorHAnsi" w:hAnsiTheme="minorHAnsi" w:cstheme="minorHAnsi"/>
                <w:i/>
              </w:rPr>
              <w:t>S</w:t>
            </w:r>
            <w:r w:rsidR="00845476" w:rsidRPr="00455C82">
              <w:rPr>
                <w:rFonts w:asciiTheme="minorHAnsi" w:hAnsiTheme="minorHAnsi" w:cstheme="minorHAnsi"/>
                <w:i/>
              </w:rPr>
              <w:t>.</w:t>
            </w:r>
            <w:r w:rsidRPr="00455C82">
              <w:rPr>
                <w:rFonts w:asciiTheme="minorHAnsi" w:hAnsiTheme="minorHAnsi" w:cstheme="minorHAnsi"/>
                <w:i/>
              </w:rPr>
              <w:t xml:space="preserve"> chloroculus</w:t>
            </w:r>
            <w:r w:rsidRPr="00455C82">
              <w:rPr>
                <w:rFonts w:asciiTheme="minorHAnsi" w:hAnsiTheme="minorHAnsi" w:cstheme="minorHAnsi"/>
              </w:rPr>
              <w:t>)</w:t>
            </w:r>
            <w:r w:rsidRPr="00163134">
              <w:rPr>
                <w:rFonts w:asciiTheme="minorHAnsi" w:hAnsiTheme="minorHAnsi" w:cstheme="minorHAnsi"/>
              </w:rPr>
              <w:t xml:space="preserve"> and differentiate them from retainable species, including </w:t>
            </w:r>
            <w:r w:rsidRPr="00455C82">
              <w:rPr>
                <w:rFonts w:asciiTheme="minorHAnsi" w:hAnsiTheme="minorHAnsi" w:cstheme="minorHAnsi"/>
                <w:i/>
              </w:rPr>
              <w:t>Deania</w:t>
            </w:r>
            <w:r w:rsidRPr="00455C82">
              <w:rPr>
                <w:rFonts w:asciiTheme="minorHAnsi" w:hAnsiTheme="minorHAnsi" w:cstheme="minorHAnsi"/>
              </w:rPr>
              <w:t xml:space="preserve"> </w:t>
            </w:r>
            <w:r w:rsidRPr="00163134">
              <w:rPr>
                <w:rFonts w:asciiTheme="minorHAnsi" w:hAnsiTheme="minorHAnsi" w:cstheme="minorHAnsi"/>
              </w:rPr>
              <w:t>species.</w:t>
            </w:r>
          </w:p>
        </w:tc>
        <w:tc>
          <w:tcPr>
            <w:tcW w:w="1250" w:type="pct"/>
          </w:tcPr>
          <w:p w14:paraId="5DC12FA2" w14:textId="59478F68" w:rsidR="00F24D13" w:rsidRPr="00163134" w:rsidRDefault="00F24D13" w:rsidP="00845476">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b/>
              </w:rPr>
              <w:t xml:space="preserve">No change – </w:t>
            </w:r>
            <w:r w:rsidRPr="00163134">
              <w:rPr>
                <w:rFonts w:asciiTheme="minorHAnsi" w:hAnsiTheme="minorHAnsi" w:cstheme="minorHAnsi"/>
              </w:rPr>
              <w:t>Maintain the prohibition</w:t>
            </w:r>
            <w:r w:rsidRPr="00163134">
              <w:rPr>
                <w:rFonts w:asciiTheme="minorHAnsi" w:hAnsiTheme="minorHAnsi" w:cstheme="minorHAnsi"/>
                <w:b/>
              </w:rPr>
              <w:t xml:space="preserve"> </w:t>
            </w:r>
            <w:r w:rsidRPr="00163134">
              <w:rPr>
                <w:rFonts w:asciiTheme="minorHAnsi" w:hAnsiTheme="minorHAnsi" w:cstheme="minorHAnsi"/>
              </w:rPr>
              <w:t xml:space="preserve">on all species of the Centrophoridae and Squalidae families (excluding </w:t>
            </w:r>
            <w:r w:rsidRPr="00455C82">
              <w:rPr>
                <w:rFonts w:asciiTheme="minorHAnsi" w:hAnsiTheme="minorHAnsi" w:cstheme="minorHAnsi"/>
                <w:i/>
              </w:rPr>
              <w:t>Deania</w:t>
            </w:r>
            <w:r w:rsidRPr="00455C82">
              <w:rPr>
                <w:rFonts w:asciiTheme="minorHAnsi" w:hAnsiTheme="minorHAnsi" w:cstheme="minorHAnsi"/>
              </w:rPr>
              <w:t xml:space="preserve"> </w:t>
            </w:r>
            <w:r w:rsidRPr="00163134">
              <w:rPr>
                <w:rFonts w:asciiTheme="minorHAnsi" w:hAnsiTheme="minorHAnsi" w:cstheme="minorHAnsi"/>
              </w:rPr>
              <w:t>sp</w:t>
            </w:r>
            <w:r w:rsidR="002B239F">
              <w:rPr>
                <w:rFonts w:asciiTheme="minorHAnsi" w:hAnsiTheme="minorHAnsi" w:cstheme="minorHAnsi"/>
              </w:rPr>
              <w:t>p</w:t>
            </w:r>
            <w:r w:rsidRPr="00163134">
              <w:rPr>
                <w:rFonts w:asciiTheme="minorHAnsi" w:hAnsiTheme="minorHAnsi" w:cstheme="minorHAnsi"/>
              </w:rPr>
              <w:t xml:space="preserve">.), unless industry can provide robust evidence that they are able </w:t>
            </w:r>
            <w:r w:rsidR="00845476" w:rsidRPr="00163134">
              <w:rPr>
                <w:rFonts w:asciiTheme="minorHAnsi" w:hAnsiTheme="minorHAnsi" w:cstheme="minorHAnsi"/>
              </w:rPr>
              <w:t>accurately identify and differentiate between those Squalidae species to be retained from those species managed under the Strategy</w:t>
            </w:r>
            <w:r w:rsidRPr="00163134">
              <w:rPr>
                <w:rFonts w:asciiTheme="minorHAnsi" w:hAnsiTheme="minorHAnsi" w:cstheme="minorHAnsi"/>
              </w:rPr>
              <w:t xml:space="preserve">. </w:t>
            </w:r>
          </w:p>
        </w:tc>
      </w:tr>
      <w:tr w:rsidR="007E33C6" w:rsidRPr="00163134" w14:paraId="0B5CEB29" w14:textId="77777777" w:rsidTr="00413776">
        <w:tc>
          <w:tcPr>
            <w:cnfStyle w:val="001000000000" w:firstRow="0" w:lastRow="0" w:firstColumn="1" w:lastColumn="0" w:oddVBand="0" w:evenVBand="0" w:oddHBand="0" w:evenHBand="0" w:firstRowFirstColumn="0" w:firstRowLastColumn="0" w:lastRowFirstColumn="0" w:lastRowLastColumn="0"/>
            <w:tcW w:w="1250" w:type="pct"/>
            <w:shd w:val="clear" w:color="auto" w:fill="auto"/>
          </w:tcPr>
          <w:p w14:paraId="0DA8B5A5" w14:textId="51DE8B8A" w:rsidR="007E33C6" w:rsidRPr="00163134" w:rsidRDefault="007E33C6" w:rsidP="007E33C6">
            <w:pPr>
              <w:numPr>
                <w:ilvl w:val="0"/>
                <w:numId w:val="1"/>
              </w:numPr>
              <w:spacing w:after="0" w:line="276" w:lineRule="auto"/>
              <w:ind w:left="306" w:hanging="284"/>
              <w:contextualSpacing/>
              <w:rPr>
                <w:rFonts w:asciiTheme="minorHAnsi" w:hAnsiTheme="minorHAnsi" w:cstheme="minorHAnsi"/>
                <w:u w:val="single"/>
              </w:rPr>
            </w:pPr>
            <w:r w:rsidRPr="00163134">
              <w:rPr>
                <w:rFonts w:asciiTheme="minorHAnsi" w:hAnsiTheme="minorHAnsi" w:cstheme="minorHAnsi"/>
                <w:u w:val="single"/>
              </w:rPr>
              <w:lastRenderedPageBreak/>
              <w:t xml:space="preserve">Industry </w:t>
            </w:r>
            <w:r w:rsidR="00BA48C1" w:rsidRPr="00163134">
              <w:rPr>
                <w:rFonts w:asciiTheme="minorHAnsi" w:hAnsiTheme="minorHAnsi" w:cstheme="minorHAnsi"/>
                <w:u w:val="single"/>
              </w:rPr>
              <w:t>p</w:t>
            </w:r>
            <w:r w:rsidRPr="00163134">
              <w:rPr>
                <w:rFonts w:asciiTheme="minorHAnsi" w:hAnsiTheme="minorHAnsi" w:cstheme="minorHAnsi"/>
                <w:u w:val="single"/>
              </w:rPr>
              <w:t xml:space="preserve">roposal – </w:t>
            </w:r>
            <w:r w:rsidRPr="00163134">
              <w:rPr>
                <w:rFonts w:asciiTheme="minorHAnsi" w:hAnsiTheme="minorHAnsi" w:cstheme="minorHAnsi"/>
              </w:rPr>
              <w:t>refine licence conditions to remove the prescriptive nature of how fishing gear must be hauled.</w:t>
            </w:r>
          </w:p>
          <w:p w14:paraId="5611F207" w14:textId="77777777" w:rsidR="007E33C6" w:rsidRPr="00163134" w:rsidRDefault="007E33C6" w:rsidP="007E33C6">
            <w:pPr>
              <w:spacing w:after="0" w:line="276" w:lineRule="auto"/>
              <w:ind w:left="22"/>
              <w:contextualSpacing/>
              <w:rPr>
                <w:rFonts w:asciiTheme="minorHAnsi" w:hAnsiTheme="minorHAnsi" w:cstheme="minorHAnsi"/>
                <w:u w:val="single"/>
              </w:rPr>
            </w:pPr>
          </w:p>
          <w:p w14:paraId="64AEF779" w14:textId="77777777" w:rsidR="007E33C6" w:rsidRPr="00163134" w:rsidRDefault="007E33C6" w:rsidP="007E33C6">
            <w:pPr>
              <w:spacing w:after="0" w:line="276" w:lineRule="auto"/>
              <w:ind w:left="22"/>
              <w:contextualSpacing/>
              <w:rPr>
                <w:rFonts w:asciiTheme="minorHAnsi" w:hAnsiTheme="minorHAnsi" w:cstheme="minorHAnsi"/>
                <w:u w:val="single"/>
              </w:rPr>
            </w:pPr>
          </w:p>
          <w:p w14:paraId="28069CAD" w14:textId="186334BC" w:rsidR="007E33C6" w:rsidRPr="00163134" w:rsidRDefault="007E33C6" w:rsidP="00AF396E">
            <w:pPr>
              <w:spacing w:after="0" w:line="276" w:lineRule="auto"/>
              <w:ind w:left="306"/>
              <w:contextualSpacing/>
              <w:rPr>
                <w:rFonts w:asciiTheme="minorHAnsi" w:hAnsiTheme="minorHAnsi" w:cstheme="minorHAnsi"/>
                <w:b w:val="0"/>
                <w:u w:val="single"/>
              </w:rPr>
            </w:pPr>
            <w:r w:rsidRPr="00163134">
              <w:rPr>
                <w:rFonts w:asciiTheme="minorHAnsi" w:hAnsiTheme="minorHAnsi" w:cstheme="minorHAnsi"/>
                <w:b w:val="0"/>
              </w:rPr>
              <w:t xml:space="preserve">Currently AFMA specifies in hook licence conditions how the hauler must be slowed, dogfish must be cut off as close to the water as possible and that dogfish must not pass through the de-hooker. </w:t>
            </w:r>
          </w:p>
        </w:tc>
        <w:tc>
          <w:tcPr>
            <w:tcW w:w="1250" w:type="pct"/>
            <w:shd w:val="clear" w:color="auto" w:fill="auto"/>
          </w:tcPr>
          <w:p w14:paraId="25D78FDB" w14:textId="30EAC0ED" w:rsidR="007E33C6" w:rsidRPr="00163134" w:rsidRDefault="007E33C6" w:rsidP="00903308">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While the intent is to handle dogfish to maximise their chance of post capture survival, the prescriptive nature of the wording is difficult to </w:t>
            </w:r>
            <w:r w:rsidR="00903308" w:rsidRPr="00163134">
              <w:rPr>
                <w:rFonts w:asciiTheme="minorHAnsi" w:hAnsiTheme="minorHAnsi" w:cstheme="minorHAnsi"/>
              </w:rPr>
              <w:t xml:space="preserve">adhere to at times for health and safety reasons. The intent is to not allow dogfish to pass through the de-hooker but let the operator work out how best to haul their gear to ensure dogfish are returned to the water as quickly and safely as possible for all involved, including dogfish.  </w:t>
            </w:r>
          </w:p>
          <w:p w14:paraId="20B54FFF" w14:textId="0A072801" w:rsidR="00FC5770" w:rsidRPr="00163134" w:rsidRDefault="00FC5770" w:rsidP="00FC5770">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Further, cutting shark off at the waterline means that they still have hook in their mouth and at times, are subsequently taken by seabirds, thereby posing a risk to seabirds ingesting hooks. </w:t>
            </w:r>
          </w:p>
        </w:tc>
        <w:tc>
          <w:tcPr>
            <w:tcW w:w="1250" w:type="pct"/>
            <w:shd w:val="clear" w:color="auto" w:fill="auto"/>
          </w:tcPr>
          <w:p w14:paraId="059077BB" w14:textId="4BAF97AE" w:rsidR="007E33C6" w:rsidRPr="00163134" w:rsidRDefault="00FC5770"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Non-retainable sharks should not pass through the de</w:t>
            </w:r>
            <w:r w:rsidR="00AF396E" w:rsidRPr="00163134">
              <w:rPr>
                <w:rFonts w:asciiTheme="minorHAnsi" w:hAnsiTheme="minorHAnsi" w:cstheme="minorHAnsi"/>
              </w:rPr>
              <w:t>-</w:t>
            </w:r>
            <w:r w:rsidRPr="00163134">
              <w:rPr>
                <w:rFonts w:asciiTheme="minorHAnsi" w:hAnsiTheme="minorHAnsi" w:cstheme="minorHAnsi"/>
              </w:rPr>
              <w:t xml:space="preserve">hooker. </w:t>
            </w:r>
          </w:p>
          <w:p w14:paraId="66CAB77C" w14:textId="0ABE2BAD" w:rsidR="00FC5770" w:rsidRPr="00163134" w:rsidRDefault="00FC5770"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rPr>
              <w:t>Revising the current wording to allow dogfish to be brought on board (while still not passing through the de-hooker) would assist identification and separation of non-retainable sharks from retainable sharks, and a</w:t>
            </w:r>
            <w:r w:rsidR="007E47EA" w:rsidRPr="00163134">
              <w:rPr>
                <w:rFonts w:asciiTheme="minorHAnsi" w:hAnsiTheme="minorHAnsi" w:cstheme="minorHAnsi"/>
              </w:rPr>
              <w:t xml:space="preserve">lso allow the removal of hooks prior to being released. </w:t>
            </w:r>
          </w:p>
        </w:tc>
        <w:tc>
          <w:tcPr>
            <w:tcW w:w="1250" w:type="pct"/>
            <w:shd w:val="clear" w:color="auto" w:fill="auto"/>
          </w:tcPr>
          <w:p w14:paraId="09EE05B0" w14:textId="2A38EF34" w:rsidR="007E33C6" w:rsidRPr="00163134" w:rsidRDefault="00773BAA" w:rsidP="00F24D13">
            <w:pPr>
              <w:spacing w:after="0" w:line="276" w:lineRule="auto"/>
              <w:cnfStyle w:val="000000000000" w:firstRow="0" w:lastRow="0" w:firstColumn="0" w:lastColumn="0" w:oddVBand="0" w:evenVBand="0" w:oddHBand="0" w:evenHBand="0" w:firstRowFirstColumn="0" w:firstRowLastColumn="0" w:lastRowFirstColumn="0" w:lastRowLastColumn="0"/>
              <w:rPr>
                <w:rFonts w:asciiTheme="minorHAnsi" w:hAnsiTheme="minorHAnsi" w:cstheme="minorHAnsi"/>
              </w:rPr>
            </w:pPr>
            <w:r w:rsidRPr="00163134">
              <w:rPr>
                <w:rFonts w:asciiTheme="minorHAnsi" w:hAnsiTheme="minorHAnsi" w:cstheme="minorHAnsi"/>
                <w:b/>
              </w:rPr>
              <w:t xml:space="preserve">Partial change – </w:t>
            </w:r>
            <w:r w:rsidRPr="00163134">
              <w:rPr>
                <w:rFonts w:asciiTheme="minorHAnsi" w:hAnsiTheme="minorHAnsi" w:cstheme="minorHAnsi"/>
              </w:rPr>
              <w:t>remove the prescription on the use of the gear but maintain the requirement for prohibiting dogfish to pass through the de</w:t>
            </w:r>
            <w:r w:rsidR="00AF396E" w:rsidRPr="00163134">
              <w:rPr>
                <w:rFonts w:asciiTheme="minorHAnsi" w:hAnsiTheme="minorHAnsi" w:cstheme="minorHAnsi"/>
              </w:rPr>
              <w:t>-</w:t>
            </w:r>
            <w:r w:rsidRPr="00163134">
              <w:rPr>
                <w:rFonts w:asciiTheme="minorHAnsi" w:hAnsiTheme="minorHAnsi" w:cstheme="minorHAnsi"/>
              </w:rPr>
              <w:t xml:space="preserve">hooker. </w:t>
            </w:r>
          </w:p>
        </w:tc>
      </w:tr>
      <w:tr w:rsidR="00F24D13" w:rsidRPr="00163134" w14:paraId="787C03F0" w14:textId="77777777" w:rsidTr="0098423B">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1250" w:type="pct"/>
          </w:tcPr>
          <w:p w14:paraId="4C14AD50" w14:textId="0971D4AD" w:rsidR="00F24D13" w:rsidRPr="00163134" w:rsidRDefault="00F24D13" w:rsidP="00F24D13">
            <w:pPr>
              <w:numPr>
                <w:ilvl w:val="0"/>
                <w:numId w:val="1"/>
              </w:numPr>
              <w:spacing w:after="0" w:line="276" w:lineRule="auto"/>
              <w:ind w:left="306" w:hanging="284"/>
              <w:contextualSpacing/>
              <w:rPr>
                <w:rFonts w:asciiTheme="minorHAnsi" w:hAnsiTheme="minorHAnsi" w:cstheme="minorHAnsi"/>
              </w:rPr>
            </w:pPr>
            <w:r w:rsidRPr="00163134">
              <w:rPr>
                <w:rFonts w:asciiTheme="minorHAnsi" w:hAnsiTheme="minorHAnsi" w:cstheme="minorHAnsi"/>
              </w:rPr>
              <w:t xml:space="preserve">Taxonomy change for </w:t>
            </w:r>
            <w:r w:rsidR="0097285B" w:rsidRPr="00163134">
              <w:rPr>
                <w:rFonts w:asciiTheme="minorHAnsi" w:hAnsiTheme="minorHAnsi" w:cstheme="minorHAnsi"/>
              </w:rPr>
              <w:t>southern dogfish</w:t>
            </w:r>
            <w:r w:rsidRPr="00163134">
              <w:rPr>
                <w:rFonts w:asciiTheme="minorHAnsi" w:hAnsiTheme="minorHAnsi" w:cstheme="minorHAnsi"/>
              </w:rPr>
              <w:t xml:space="preserve"> </w:t>
            </w:r>
            <w:r w:rsidR="00417294">
              <w:rPr>
                <w:rFonts w:asciiTheme="minorHAnsi" w:hAnsiTheme="minorHAnsi" w:cstheme="minorHAnsi"/>
              </w:rPr>
              <w:t>(</w:t>
            </w:r>
            <w:r w:rsidRPr="00163134">
              <w:rPr>
                <w:rFonts w:asciiTheme="minorHAnsi" w:hAnsiTheme="minorHAnsi" w:cstheme="minorHAnsi"/>
                <w:i/>
              </w:rPr>
              <w:t>Centrophorus zeehanni</w:t>
            </w:r>
            <w:r w:rsidR="00417294">
              <w:rPr>
                <w:rFonts w:asciiTheme="minorHAnsi" w:hAnsiTheme="minorHAnsi" w:cstheme="minorHAnsi"/>
              </w:rPr>
              <w:t>)</w:t>
            </w:r>
            <w:r w:rsidRPr="00163134">
              <w:rPr>
                <w:rFonts w:asciiTheme="minorHAnsi" w:hAnsiTheme="minorHAnsi" w:cstheme="minorHAnsi"/>
              </w:rPr>
              <w:t xml:space="preserve"> and potential implications for the strategy. </w:t>
            </w:r>
          </w:p>
          <w:p w14:paraId="5049A5DC" w14:textId="77777777" w:rsidR="00F24D13" w:rsidRPr="00163134" w:rsidRDefault="00F24D13" w:rsidP="00F24D13">
            <w:pPr>
              <w:spacing w:after="0" w:line="276" w:lineRule="auto"/>
              <w:contextualSpacing/>
              <w:rPr>
                <w:rFonts w:asciiTheme="minorHAnsi" w:hAnsiTheme="minorHAnsi" w:cstheme="minorHAnsi"/>
              </w:rPr>
            </w:pPr>
          </w:p>
          <w:p w14:paraId="346CD3EC" w14:textId="46BF1089" w:rsidR="00F24D13" w:rsidRPr="00163134" w:rsidRDefault="00F24D13" w:rsidP="00F24D13">
            <w:pPr>
              <w:spacing w:after="0" w:line="276" w:lineRule="auto"/>
              <w:ind w:left="306"/>
              <w:contextualSpacing/>
              <w:rPr>
                <w:rFonts w:asciiTheme="minorHAnsi" w:hAnsiTheme="minorHAnsi" w:cstheme="minorHAnsi"/>
                <w:b w:val="0"/>
                <w:i/>
              </w:rPr>
            </w:pPr>
            <w:r w:rsidRPr="00163134">
              <w:rPr>
                <w:rFonts w:asciiTheme="minorHAnsi" w:hAnsiTheme="minorHAnsi" w:cstheme="minorHAnsi"/>
                <w:b w:val="0"/>
                <w:i/>
              </w:rPr>
              <w:t xml:space="preserve">There is an impending taxonomic change for </w:t>
            </w:r>
            <w:r w:rsidR="0097285B" w:rsidRPr="00163134">
              <w:rPr>
                <w:rFonts w:asciiTheme="minorHAnsi" w:hAnsiTheme="minorHAnsi" w:cstheme="minorHAnsi"/>
                <w:b w:val="0"/>
                <w:i/>
              </w:rPr>
              <w:t>southern dogfish</w:t>
            </w:r>
            <w:r w:rsidRPr="00163134">
              <w:rPr>
                <w:rFonts w:asciiTheme="minorHAnsi" w:hAnsiTheme="minorHAnsi" w:cstheme="minorHAnsi"/>
                <w:b w:val="0"/>
                <w:i/>
              </w:rPr>
              <w:t xml:space="preserve"> </w:t>
            </w:r>
            <w:r w:rsidR="00417294">
              <w:rPr>
                <w:rFonts w:asciiTheme="minorHAnsi" w:hAnsiTheme="minorHAnsi" w:cstheme="minorHAnsi"/>
                <w:b w:val="0"/>
                <w:i/>
              </w:rPr>
              <w:t>(</w:t>
            </w:r>
            <w:r w:rsidRPr="00163134">
              <w:rPr>
                <w:rFonts w:asciiTheme="minorHAnsi" w:hAnsiTheme="minorHAnsi" w:cstheme="minorHAnsi"/>
                <w:b w:val="0"/>
                <w:i/>
              </w:rPr>
              <w:t>C</w:t>
            </w:r>
            <w:r w:rsidR="0097285B">
              <w:rPr>
                <w:rFonts w:asciiTheme="minorHAnsi" w:hAnsiTheme="minorHAnsi" w:cstheme="minorHAnsi"/>
                <w:b w:val="0"/>
                <w:i/>
              </w:rPr>
              <w:t>.</w:t>
            </w:r>
            <w:r w:rsidRPr="00163134">
              <w:rPr>
                <w:rFonts w:asciiTheme="minorHAnsi" w:hAnsiTheme="minorHAnsi" w:cstheme="minorHAnsi"/>
                <w:b w:val="0"/>
                <w:i/>
              </w:rPr>
              <w:t xml:space="preserve"> zeehaani</w:t>
            </w:r>
            <w:r w:rsidR="00417294">
              <w:rPr>
                <w:rFonts w:asciiTheme="minorHAnsi" w:hAnsiTheme="minorHAnsi" w:cstheme="minorHAnsi"/>
                <w:b w:val="0"/>
                <w:i/>
              </w:rPr>
              <w:t>)</w:t>
            </w:r>
            <w:r w:rsidRPr="00163134">
              <w:rPr>
                <w:rFonts w:asciiTheme="minorHAnsi" w:hAnsiTheme="minorHAnsi" w:cstheme="minorHAnsi"/>
                <w:b w:val="0"/>
                <w:i/>
              </w:rPr>
              <w:t>.</w:t>
            </w:r>
          </w:p>
          <w:p w14:paraId="4E0AC6E5" w14:textId="77777777" w:rsidR="00F24D13" w:rsidRPr="00163134" w:rsidRDefault="00F24D13" w:rsidP="00F24D13">
            <w:pPr>
              <w:spacing w:after="0" w:line="276" w:lineRule="auto"/>
              <w:ind w:left="306"/>
              <w:contextualSpacing/>
              <w:rPr>
                <w:rFonts w:asciiTheme="minorHAnsi" w:hAnsiTheme="minorHAnsi" w:cstheme="minorHAnsi"/>
              </w:rPr>
            </w:pPr>
          </w:p>
        </w:tc>
        <w:tc>
          <w:tcPr>
            <w:tcW w:w="1250" w:type="pct"/>
          </w:tcPr>
          <w:p w14:paraId="0E7D27F2" w14:textId="0D991526" w:rsidR="00F24D13" w:rsidRPr="00163134" w:rsidRDefault="00F24D13" w:rsidP="00163134">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lastRenderedPageBreak/>
              <w:t xml:space="preserve">The HSP provides guidance where species fished in Australian waters are part of a broader internationally shared stock. This guidance, and investigation of the biological status of the international stock will </w:t>
            </w:r>
            <w:r w:rsidR="00665058" w:rsidRPr="00163134">
              <w:rPr>
                <w:rFonts w:asciiTheme="minorHAnsi" w:hAnsiTheme="minorHAnsi" w:cstheme="minorHAnsi"/>
              </w:rPr>
              <w:t>in</w:t>
            </w:r>
            <w:r w:rsidRPr="00163134">
              <w:rPr>
                <w:rFonts w:asciiTheme="minorHAnsi" w:hAnsiTheme="minorHAnsi" w:cstheme="minorHAnsi"/>
              </w:rPr>
              <w:t xml:space="preserve">form any response required under the </w:t>
            </w:r>
            <w:r w:rsidR="00163134" w:rsidRPr="00163134">
              <w:rPr>
                <w:rFonts w:asciiTheme="minorHAnsi" w:hAnsiTheme="minorHAnsi" w:cstheme="minorHAnsi"/>
              </w:rPr>
              <w:t>Strategy</w:t>
            </w:r>
            <w:r w:rsidRPr="00163134">
              <w:rPr>
                <w:rFonts w:asciiTheme="minorHAnsi" w:hAnsiTheme="minorHAnsi" w:cstheme="minorHAnsi"/>
              </w:rPr>
              <w:t>.</w:t>
            </w:r>
          </w:p>
        </w:tc>
        <w:tc>
          <w:tcPr>
            <w:tcW w:w="1250" w:type="pct"/>
          </w:tcPr>
          <w:p w14:paraId="72721FD7" w14:textId="3F789810" w:rsidR="00F24D13" w:rsidRPr="00163134" w:rsidRDefault="00F24D13" w:rsidP="0097285B">
            <w:pPr>
              <w:spacing w:after="0" w:line="276" w:lineRule="auto"/>
              <w:contextualSpacing/>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There is an impending taxonomic change for one species:  </w:t>
            </w:r>
            <w:r w:rsidRPr="00163134">
              <w:rPr>
                <w:rFonts w:asciiTheme="minorHAnsi" w:hAnsiTheme="minorHAnsi" w:cstheme="minorHAnsi"/>
                <w:i/>
              </w:rPr>
              <w:t>C</w:t>
            </w:r>
            <w:r w:rsidR="0097285B">
              <w:rPr>
                <w:rFonts w:asciiTheme="minorHAnsi" w:hAnsiTheme="minorHAnsi" w:cstheme="minorHAnsi"/>
                <w:i/>
              </w:rPr>
              <w:t>.</w:t>
            </w:r>
            <w:r w:rsidRPr="00163134">
              <w:rPr>
                <w:rFonts w:asciiTheme="minorHAnsi" w:hAnsiTheme="minorHAnsi" w:cstheme="minorHAnsi"/>
                <w:i/>
              </w:rPr>
              <w:t xml:space="preserve"> zeehaani </w:t>
            </w:r>
            <w:r w:rsidRPr="00163134">
              <w:rPr>
                <w:rFonts w:asciiTheme="minorHAnsi" w:hAnsiTheme="minorHAnsi" w:cstheme="minorHAnsi"/>
              </w:rPr>
              <w:t xml:space="preserve">will be synonymised with </w:t>
            </w:r>
            <w:r w:rsidRPr="00163134">
              <w:rPr>
                <w:rFonts w:asciiTheme="minorHAnsi" w:hAnsiTheme="minorHAnsi" w:cstheme="minorHAnsi"/>
                <w:i/>
              </w:rPr>
              <w:t xml:space="preserve">C. uyato </w:t>
            </w:r>
            <w:r w:rsidRPr="00163134">
              <w:rPr>
                <w:rFonts w:asciiTheme="minorHAnsi" w:hAnsiTheme="minorHAnsi" w:cstheme="minorHAnsi"/>
              </w:rPr>
              <w:t xml:space="preserve">(Dr Will White, CSIRO pers. Comm.; 28/10/2019). Data derived from new genetic techniques show the </w:t>
            </w:r>
            <w:r w:rsidRPr="00163134">
              <w:rPr>
                <w:rFonts w:asciiTheme="minorHAnsi" w:hAnsiTheme="minorHAnsi" w:cstheme="minorHAnsi"/>
                <w:i/>
              </w:rPr>
              <w:t xml:space="preserve">C. zeehaani </w:t>
            </w:r>
            <w:r w:rsidRPr="00163134">
              <w:rPr>
                <w:rFonts w:asciiTheme="minorHAnsi" w:hAnsiTheme="minorHAnsi" w:cstheme="minorHAnsi"/>
              </w:rPr>
              <w:t xml:space="preserve">appears to be the same species as specimens collected off </w:t>
            </w:r>
            <w:r w:rsidRPr="00163134">
              <w:rPr>
                <w:rFonts w:asciiTheme="minorHAnsi" w:hAnsiTheme="minorHAnsi" w:cstheme="minorHAnsi"/>
              </w:rPr>
              <w:lastRenderedPageBreak/>
              <w:t xml:space="preserve">Norway (Wienerroither et al. 2014) (and other localities including Japan and India), and they are the apparently widely-distributed </w:t>
            </w:r>
            <w:r w:rsidRPr="00163134">
              <w:rPr>
                <w:rFonts w:asciiTheme="minorHAnsi" w:hAnsiTheme="minorHAnsi" w:cstheme="minorHAnsi"/>
                <w:i/>
              </w:rPr>
              <w:t>C. uyato</w:t>
            </w:r>
            <w:r w:rsidRPr="00163134">
              <w:rPr>
                <w:rFonts w:asciiTheme="minorHAnsi" w:hAnsiTheme="minorHAnsi" w:cstheme="minorHAnsi"/>
              </w:rPr>
              <w:t xml:space="preserve">. Whilst this alters the understanding of the species and its overall distribution, there is no change to its known range within Australian waters from that defined previously. Thus, it is limited to southern Australian waters, comprised of ‘far-western’, ‘central’ and ‘eastern’ populations split, respectively, by (1) the large area of sediment at the Head of the Bight, and (2) Tasmania </w:t>
            </w:r>
            <w:r w:rsidR="00163134" w:rsidRPr="00163134">
              <w:rPr>
                <w:rFonts w:asciiTheme="minorHAnsi" w:hAnsiTheme="minorHAnsi" w:cstheme="minorHAnsi"/>
              </w:rPr>
              <w:t xml:space="preserve">(Williams et al. 2013) </w:t>
            </w:r>
            <w:r w:rsidRPr="00163134">
              <w:rPr>
                <w:rFonts w:asciiTheme="minorHAnsi" w:hAnsiTheme="minorHAnsi" w:cstheme="minorHAnsi"/>
              </w:rPr>
              <w:t xml:space="preserve">and represents a single management </w:t>
            </w:r>
            <w:r w:rsidR="00163134" w:rsidRPr="00163134">
              <w:rPr>
                <w:rFonts w:asciiTheme="minorHAnsi" w:hAnsiTheme="minorHAnsi" w:cstheme="minorHAnsi"/>
              </w:rPr>
              <w:t>unit in the context of the Strategy</w:t>
            </w:r>
            <w:r w:rsidRPr="00163134">
              <w:rPr>
                <w:rFonts w:asciiTheme="minorHAnsi" w:hAnsiTheme="minorHAnsi" w:cstheme="minorHAnsi"/>
              </w:rPr>
              <w:t xml:space="preserve">. </w:t>
            </w:r>
          </w:p>
        </w:tc>
        <w:tc>
          <w:tcPr>
            <w:tcW w:w="1250" w:type="pct"/>
          </w:tcPr>
          <w:p w14:paraId="1F3C6C66" w14:textId="4C2F8EDD" w:rsidR="00F24D13" w:rsidRPr="00163134" w:rsidRDefault="00F24D13" w:rsidP="00F24D13">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b/>
              </w:rPr>
              <w:lastRenderedPageBreak/>
              <w:t>No change</w:t>
            </w:r>
            <w:r w:rsidRPr="00163134">
              <w:rPr>
                <w:rFonts w:asciiTheme="minorHAnsi" w:hAnsiTheme="minorHAnsi" w:cstheme="minorHAnsi"/>
              </w:rPr>
              <w:t xml:space="preserve"> </w:t>
            </w:r>
            <w:r w:rsidR="00665058" w:rsidRPr="00163134">
              <w:rPr>
                <w:rFonts w:asciiTheme="minorHAnsi" w:hAnsiTheme="minorHAnsi" w:cstheme="minorHAnsi"/>
              </w:rPr>
              <w:t>–</w:t>
            </w:r>
            <w:r w:rsidRPr="00163134">
              <w:rPr>
                <w:rFonts w:asciiTheme="minorHAnsi" w:hAnsiTheme="minorHAnsi" w:cstheme="minorHAnsi"/>
              </w:rPr>
              <w:t xml:space="preserve"> </w:t>
            </w:r>
            <w:r w:rsidR="00665058" w:rsidRPr="00163134">
              <w:rPr>
                <w:rFonts w:asciiTheme="minorHAnsi" w:hAnsiTheme="minorHAnsi" w:cstheme="minorHAnsi"/>
              </w:rPr>
              <w:t xml:space="preserve">The impending change does not appear that it will have implications for the species status and therefore, no material implication for the Strategy. </w:t>
            </w:r>
            <w:r w:rsidRPr="00163134">
              <w:rPr>
                <w:rFonts w:asciiTheme="minorHAnsi" w:hAnsiTheme="minorHAnsi" w:cstheme="minorHAnsi"/>
              </w:rPr>
              <w:t xml:space="preserve">AFMA continues to monitor scientific advice and will implement </w:t>
            </w:r>
            <w:r w:rsidRPr="00163134">
              <w:rPr>
                <w:rFonts w:asciiTheme="minorHAnsi" w:hAnsiTheme="minorHAnsi" w:cstheme="minorHAnsi"/>
              </w:rPr>
              <w:lastRenderedPageBreak/>
              <w:t xml:space="preserve">management changes where required. </w:t>
            </w:r>
          </w:p>
          <w:p w14:paraId="6C17511B" w14:textId="7A0506EC" w:rsidR="00F24D13" w:rsidRPr="00163134" w:rsidRDefault="00F24D13" w:rsidP="00F24D13">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r w:rsidRPr="00163134">
              <w:rPr>
                <w:rFonts w:asciiTheme="minorHAnsi" w:hAnsiTheme="minorHAnsi" w:cstheme="minorHAnsi"/>
              </w:rPr>
              <w:t xml:space="preserve">The known Australian distribution of the species is separate and isolated from the northern hemisphere range of </w:t>
            </w:r>
            <w:r w:rsidR="00163134">
              <w:rPr>
                <w:rFonts w:asciiTheme="minorHAnsi" w:hAnsiTheme="minorHAnsi" w:cstheme="minorHAnsi"/>
                <w:i/>
              </w:rPr>
              <w:t>C</w:t>
            </w:r>
            <w:r w:rsidR="0097285B">
              <w:rPr>
                <w:rFonts w:asciiTheme="minorHAnsi" w:hAnsiTheme="minorHAnsi" w:cstheme="minorHAnsi"/>
                <w:i/>
              </w:rPr>
              <w:t>.</w:t>
            </w:r>
            <w:r w:rsidR="00163134">
              <w:rPr>
                <w:rFonts w:asciiTheme="minorHAnsi" w:hAnsiTheme="minorHAnsi" w:cstheme="minorHAnsi"/>
                <w:i/>
              </w:rPr>
              <w:t xml:space="preserve"> uyat</w:t>
            </w:r>
            <w:r w:rsidRPr="00163134">
              <w:rPr>
                <w:rFonts w:asciiTheme="minorHAnsi" w:hAnsiTheme="minorHAnsi" w:cstheme="minorHAnsi"/>
                <w:i/>
              </w:rPr>
              <w:t xml:space="preserve">, </w:t>
            </w:r>
            <w:r w:rsidRPr="00163134">
              <w:rPr>
                <w:rFonts w:asciiTheme="minorHAnsi" w:hAnsiTheme="minorHAnsi" w:cstheme="minorHAnsi"/>
              </w:rPr>
              <w:t>with</w:t>
            </w:r>
            <w:r w:rsidRPr="00163134">
              <w:rPr>
                <w:rFonts w:asciiTheme="minorHAnsi" w:hAnsiTheme="minorHAnsi" w:cstheme="minorHAnsi"/>
                <w:i/>
              </w:rPr>
              <w:t xml:space="preserve"> </w:t>
            </w:r>
            <w:r w:rsidRPr="00163134">
              <w:rPr>
                <w:rFonts w:asciiTheme="minorHAnsi" w:hAnsiTheme="minorHAnsi" w:cstheme="minorHAnsi"/>
              </w:rPr>
              <w:t>management arrangements remaining focused on recovery of local stocks, consistent with the HSP.</w:t>
            </w:r>
          </w:p>
          <w:p w14:paraId="558F60A9" w14:textId="77777777" w:rsidR="00F24D13" w:rsidRPr="00163134" w:rsidRDefault="00F24D13" w:rsidP="00F24D13">
            <w:pPr>
              <w:spacing w:after="0" w:line="276" w:lineRule="auto"/>
              <w:cnfStyle w:val="000000010000" w:firstRow="0" w:lastRow="0" w:firstColumn="0" w:lastColumn="0" w:oddVBand="0" w:evenVBand="0" w:oddHBand="0" w:evenHBand="1" w:firstRowFirstColumn="0" w:firstRowLastColumn="0" w:lastRowFirstColumn="0" w:lastRowLastColumn="0"/>
              <w:rPr>
                <w:rFonts w:asciiTheme="minorHAnsi" w:hAnsiTheme="minorHAnsi" w:cstheme="minorHAnsi"/>
              </w:rPr>
            </w:pPr>
          </w:p>
        </w:tc>
      </w:tr>
    </w:tbl>
    <w:p w14:paraId="48B01881" w14:textId="77777777" w:rsidR="00F24D13" w:rsidRPr="00163134" w:rsidRDefault="00F24D13" w:rsidP="00F24D13">
      <w:pPr>
        <w:spacing w:after="0" w:line="276" w:lineRule="auto"/>
        <w:ind w:left="720"/>
        <w:contextualSpacing/>
        <w:rPr>
          <w:rFonts w:cstheme="minorHAnsi"/>
        </w:rPr>
      </w:pPr>
    </w:p>
    <w:p w14:paraId="26A8F2B1" w14:textId="77777777" w:rsidR="00F24D13" w:rsidRPr="00163134" w:rsidRDefault="00F24D13" w:rsidP="00F24D13">
      <w:pPr>
        <w:spacing w:after="60" w:line="276" w:lineRule="auto"/>
        <w:rPr>
          <w:rFonts w:cstheme="minorHAnsi"/>
          <w:b/>
          <w:bCs/>
        </w:rPr>
      </w:pPr>
    </w:p>
    <w:p w14:paraId="3A73445F" w14:textId="21436F0C" w:rsidR="000569BA" w:rsidRPr="00163134" w:rsidRDefault="00163134">
      <w:pPr>
        <w:rPr>
          <w:rFonts w:cstheme="minorHAnsi"/>
          <w:b/>
        </w:rPr>
      </w:pPr>
      <w:r w:rsidRPr="00163134">
        <w:rPr>
          <w:rFonts w:cstheme="minorHAnsi"/>
          <w:b/>
        </w:rPr>
        <w:t>References</w:t>
      </w:r>
    </w:p>
    <w:p w14:paraId="20FA71E9" w14:textId="77777777" w:rsidR="00163134" w:rsidRPr="00163134" w:rsidRDefault="00163134" w:rsidP="00163134">
      <w:pPr>
        <w:rPr>
          <w:rFonts w:cstheme="minorHAnsi"/>
        </w:rPr>
      </w:pPr>
      <w:r w:rsidRPr="00163134">
        <w:rPr>
          <w:rFonts w:cstheme="minorHAnsi"/>
        </w:rPr>
        <w:t>Williams, A., Althaus, F., Smith, A.D.M., Daley, R., Barker, B.A., Fuller, M (2013). Developing and applying a spatially based seascape analysis (the "habitat proxy" method) to inform management of gulper sharks: compendium of CSIRO discussion papers Hobart, p. 220.</w:t>
      </w:r>
    </w:p>
    <w:p w14:paraId="3307D2E9" w14:textId="2CD0D51A" w:rsidR="00163134" w:rsidRPr="00163134" w:rsidRDefault="00163134">
      <w:pPr>
        <w:rPr>
          <w:rFonts w:cstheme="minorHAnsi"/>
        </w:rPr>
      </w:pPr>
      <w:r w:rsidRPr="00163134">
        <w:rPr>
          <w:rFonts w:cstheme="minorHAnsi"/>
        </w:rPr>
        <w:t xml:space="preserve">Williams A, Green M.A, Althus F, Knuckey I, McLean D, Koopman M (2018) Research to support the upper-slope dogfish management strategy: options for monitoring the recovery of </w:t>
      </w:r>
      <w:r w:rsidR="0097285B" w:rsidRPr="00163134">
        <w:rPr>
          <w:rFonts w:cstheme="minorHAnsi"/>
        </w:rPr>
        <w:t xml:space="preserve">southern dogfish </w:t>
      </w:r>
      <w:r w:rsidRPr="00163134">
        <w:rPr>
          <w:rFonts w:cstheme="minorHAnsi"/>
        </w:rPr>
        <w:t xml:space="preserve">and Harrisson’s </w:t>
      </w:r>
      <w:r w:rsidR="0097285B" w:rsidRPr="00163134">
        <w:rPr>
          <w:rFonts w:cstheme="minorHAnsi"/>
        </w:rPr>
        <w:t>dogfish</w:t>
      </w:r>
      <w:r w:rsidRPr="00163134">
        <w:rPr>
          <w:rFonts w:cstheme="minorHAnsi"/>
        </w:rPr>
        <w:t xml:space="preserve">. Report to AFMA. CSIRO, Australia. </w:t>
      </w:r>
    </w:p>
    <w:sectPr w:rsidR="00163134" w:rsidRPr="00163134" w:rsidSect="00F24D13">
      <w:pgSz w:w="16838" w:h="11906" w:orient="landscape"/>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01A3204" w14:textId="77777777" w:rsidR="002B6BEE" w:rsidRDefault="002B6BEE" w:rsidP="002B6BEE">
      <w:pPr>
        <w:spacing w:after="0" w:line="240" w:lineRule="auto"/>
      </w:pPr>
      <w:r>
        <w:separator/>
      </w:r>
    </w:p>
  </w:endnote>
  <w:endnote w:type="continuationSeparator" w:id="0">
    <w:p w14:paraId="41CC2463" w14:textId="77777777" w:rsidR="002B6BEE" w:rsidRDefault="002B6BEE" w:rsidP="002B6BE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8163060" w14:textId="77777777" w:rsidR="002B6BEE" w:rsidRDefault="002B6BEE" w:rsidP="002B6BEE">
      <w:pPr>
        <w:spacing w:after="0" w:line="240" w:lineRule="auto"/>
      </w:pPr>
      <w:r>
        <w:separator/>
      </w:r>
    </w:p>
  </w:footnote>
  <w:footnote w:type="continuationSeparator" w:id="0">
    <w:p w14:paraId="1EA1BFFE" w14:textId="77777777" w:rsidR="002B6BEE" w:rsidRDefault="002B6BEE" w:rsidP="002B6BE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3BF5A92"/>
    <w:multiLevelType w:val="hybridMultilevel"/>
    <w:tmpl w:val="4D5881E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24D13"/>
    <w:rsid w:val="000C34EB"/>
    <w:rsid w:val="000E1FC4"/>
    <w:rsid w:val="000E6488"/>
    <w:rsid w:val="00163134"/>
    <w:rsid w:val="00165E90"/>
    <w:rsid w:val="00170693"/>
    <w:rsid w:val="00183DBB"/>
    <w:rsid w:val="00184FB3"/>
    <w:rsid w:val="002B239F"/>
    <w:rsid w:val="002B6BEE"/>
    <w:rsid w:val="00306BAB"/>
    <w:rsid w:val="003917A1"/>
    <w:rsid w:val="00417294"/>
    <w:rsid w:val="00422D3E"/>
    <w:rsid w:val="00455C82"/>
    <w:rsid w:val="004A2B4C"/>
    <w:rsid w:val="005766A9"/>
    <w:rsid w:val="006132AC"/>
    <w:rsid w:val="00665058"/>
    <w:rsid w:val="006D6492"/>
    <w:rsid w:val="0076795B"/>
    <w:rsid w:val="00773BAA"/>
    <w:rsid w:val="00777ACA"/>
    <w:rsid w:val="007813FA"/>
    <w:rsid w:val="007C0A62"/>
    <w:rsid w:val="007E33C6"/>
    <w:rsid w:val="007E37C7"/>
    <w:rsid w:val="007E47EA"/>
    <w:rsid w:val="00836E79"/>
    <w:rsid w:val="00845476"/>
    <w:rsid w:val="00852C3D"/>
    <w:rsid w:val="008821D0"/>
    <w:rsid w:val="00903308"/>
    <w:rsid w:val="0091257B"/>
    <w:rsid w:val="00931355"/>
    <w:rsid w:val="00947E79"/>
    <w:rsid w:val="0097285B"/>
    <w:rsid w:val="0098423B"/>
    <w:rsid w:val="00A816BD"/>
    <w:rsid w:val="00AF396E"/>
    <w:rsid w:val="00B1636E"/>
    <w:rsid w:val="00BA074F"/>
    <w:rsid w:val="00BA48C1"/>
    <w:rsid w:val="00BC3A26"/>
    <w:rsid w:val="00C61513"/>
    <w:rsid w:val="00C7734A"/>
    <w:rsid w:val="00C976D2"/>
    <w:rsid w:val="00CA42B0"/>
    <w:rsid w:val="00D738B7"/>
    <w:rsid w:val="00D90229"/>
    <w:rsid w:val="00DA3019"/>
    <w:rsid w:val="00DF0388"/>
    <w:rsid w:val="00E8054B"/>
    <w:rsid w:val="00F24D13"/>
    <w:rsid w:val="00FB570D"/>
    <w:rsid w:val="00FC5770"/>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3322E428"/>
  <w15:chartTrackingRefBased/>
  <w15:docId w15:val="{201D12B7-B82B-44C9-ABFA-3520AF8065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A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AFMA-default">
    <w:name w:val="AFMA - default"/>
    <w:basedOn w:val="TableNormal"/>
    <w:uiPriority w:val="99"/>
    <w:rsid w:val="00F24D13"/>
    <w:pPr>
      <w:spacing w:before="60" w:after="60" w:line="240" w:lineRule="auto"/>
    </w:pPr>
    <w:rPr>
      <w:rFonts w:ascii="Arial Narrow" w:hAnsi="Arial Narrow"/>
      <w:color w:val="333333"/>
    </w:rPr>
    <w:tblPr>
      <w:tblStyleRowBandSize w:val="1"/>
      <w:tblBorders>
        <w:top w:val="single" w:sz="4" w:space="0" w:color="D9D9D9" w:themeColor="background1" w:themeShade="D9"/>
        <w:left w:val="single" w:sz="4" w:space="0" w:color="D9D9D9" w:themeColor="background1" w:themeShade="D9"/>
        <w:bottom w:val="single" w:sz="4" w:space="0" w:color="D9D9D9" w:themeColor="background1" w:themeShade="D9"/>
        <w:right w:val="single" w:sz="4" w:space="0" w:color="D9D9D9" w:themeColor="background1" w:themeShade="D9"/>
        <w:insideH w:val="single" w:sz="4" w:space="0" w:color="D9D9D9" w:themeColor="background1" w:themeShade="D9"/>
        <w:insideV w:val="single" w:sz="4" w:space="0" w:color="D9D9D9" w:themeColor="background1" w:themeShade="D9"/>
      </w:tblBorders>
    </w:tblPr>
    <w:tblStylePr w:type="firstRow">
      <w:rPr>
        <w:b/>
        <w:bCs/>
        <w:color w:val="FFFFFF" w:themeColor="background1"/>
        <w:sz w:val="24"/>
      </w:rPr>
      <w:tblPr/>
      <w:trPr>
        <w:cantSplit/>
        <w:tblHeader/>
      </w:trPr>
      <w:tcPr>
        <w:shd w:val="clear" w:color="auto" w:fill="006C8B"/>
      </w:tcPr>
    </w:tblStylePr>
    <w:tblStylePr w:type="lastRow">
      <w:rPr>
        <w:b/>
        <w:bCs/>
      </w:rPr>
    </w:tblStylePr>
    <w:tblStylePr w:type="firstCol">
      <w:rPr>
        <w:b/>
        <w:bCs/>
      </w:rPr>
    </w:tblStylePr>
    <w:tblStylePr w:type="lastCol">
      <w:rPr>
        <w:b/>
        <w:bCs/>
      </w:rPr>
    </w:tblStylePr>
    <w:tblStylePr w:type="band2Horz">
      <w:tblPr/>
      <w:tcPr>
        <w:shd w:val="clear" w:color="auto" w:fill="F2F2F2" w:themeFill="background1" w:themeFillShade="F2"/>
      </w:tcPr>
    </w:tblStylePr>
  </w:style>
  <w:style w:type="character" w:styleId="CommentReference">
    <w:name w:val="annotation reference"/>
    <w:basedOn w:val="DefaultParagraphFont"/>
    <w:uiPriority w:val="99"/>
    <w:semiHidden/>
    <w:unhideWhenUsed/>
    <w:rsid w:val="00F24D13"/>
    <w:rPr>
      <w:sz w:val="16"/>
      <w:szCs w:val="16"/>
    </w:rPr>
  </w:style>
  <w:style w:type="paragraph" w:styleId="CommentText">
    <w:name w:val="annotation text"/>
    <w:basedOn w:val="Normal"/>
    <w:link w:val="CommentTextChar"/>
    <w:uiPriority w:val="99"/>
    <w:unhideWhenUsed/>
    <w:rsid w:val="00F24D13"/>
    <w:pPr>
      <w:spacing w:after="200" w:line="240" w:lineRule="auto"/>
    </w:pPr>
    <w:rPr>
      <w:rFonts w:ascii="Arial" w:hAnsi="Arial"/>
      <w:sz w:val="20"/>
      <w:szCs w:val="20"/>
    </w:rPr>
  </w:style>
  <w:style w:type="character" w:customStyle="1" w:styleId="CommentTextChar">
    <w:name w:val="Comment Text Char"/>
    <w:basedOn w:val="DefaultParagraphFont"/>
    <w:link w:val="CommentText"/>
    <w:uiPriority w:val="99"/>
    <w:rsid w:val="00F24D13"/>
    <w:rPr>
      <w:rFonts w:ascii="Arial" w:hAnsi="Arial"/>
      <w:sz w:val="20"/>
      <w:szCs w:val="20"/>
    </w:rPr>
  </w:style>
  <w:style w:type="paragraph" w:styleId="BalloonText">
    <w:name w:val="Balloon Text"/>
    <w:basedOn w:val="Normal"/>
    <w:link w:val="BalloonTextChar"/>
    <w:uiPriority w:val="99"/>
    <w:semiHidden/>
    <w:unhideWhenUsed/>
    <w:rsid w:val="00F24D13"/>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24D13"/>
    <w:rPr>
      <w:rFonts w:ascii="Segoe UI" w:hAnsi="Segoe UI" w:cs="Segoe UI"/>
      <w:sz w:val="18"/>
      <w:szCs w:val="18"/>
    </w:rPr>
  </w:style>
  <w:style w:type="paragraph" w:styleId="CommentSubject">
    <w:name w:val="annotation subject"/>
    <w:basedOn w:val="CommentText"/>
    <w:next w:val="CommentText"/>
    <w:link w:val="CommentSubjectChar"/>
    <w:uiPriority w:val="99"/>
    <w:semiHidden/>
    <w:unhideWhenUsed/>
    <w:rsid w:val="00947E79"/>
    <w:pPr>
      <w:spacing w:after="160"/>
    </w:pPr>
    <w:rPr>
      <w:rFonts w:asciiTheme="minorHAnsi" w:hAnsiTheme="minorHAnsi"/>
      <w:b/>
      <w:bCs/>
    </w:rPr>
  </w:style>
  <w:style w:type="character" w:customStyle="1" w:styleId="CommentSubjectChar">
    <w:name w:val="Comment Subject Char"/>
    <w:basedOn w:val="CommentTextChar"/>
    <w:link w:val="CommentSubject"/>
    <w:uiPriority w:val="99"/>
    <w:semiHidden/>
    <w:rsid w:val="00947E79"/>
    <w:rPr>
      <w:rFonts w:ascii="Arial" w:hAnsi="Arial"/>
      <w:b/>
      <w:bCs/>
      <w:sz w:val="20"/>
      <w:szCs w:val="20"/>
    </w:rPr>
  </w:style>
  <w:style w:type="paragraph" w:styleId="Revision">
    <w:name w:val="Revision"/>
    <w:hidden/>
    <w:uiPriority w:val="99"/>
    <w:semiHidden/>
    <w:rsid w:val="00AF396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250</TotalTime>
  <Pages>7</Pages>
  <Words>1801</Words>
  <Characters>10272</Characters>
  <Application>Microsoft Office Word</Application>
  <DocSecurity>0</DocSecurity>
  <Lines>85</Lines>
  <Paragraphs>24</Paragraphs>
  <ScaleCrop>false</ScaleCrop>
  <HeadingPairs>
    <vt:vector size="2" baseType="variant">
      <vt:variant>
        <vt:lpstr>Title</vt:lpstr>
      </vt:variant>
      <vt:variant>
        <vt:i4>1</vt:i4>
      </vt:variant>
    </vt:vector>
  </HeadingPairs>
  <TitlesOfParts>
    <vt:vector size="1" baseType="lpstr">
      <vt:lpstr/>
    </vt:vector>
  </TitlesOfParts>
  <Company>The Australian Governmnet</Company>
  <LinksUpToDate>false</LinksUpToDate>
  <CharactersWithSpaces>12049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GOODSPEED, Mandy</dc:creator>
  <cp:keywords/>
  <dc:description/>
  <cp:lastModifiedBy>GOODSPEED, Mandy</cp:lastModifiedBy>
  <cp:revision>22</cp:revision>
  <dcterms:created xsi:type="dcterms:W3CDTF">2020-11-27T07:20:00Z</dcterms:created>
  <dcterms:modified xsi:type="dcterms:W3CDTF">2020-12-14T01:13:00Z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TitusGUID">
    <vt:lpwstr>315a05b0-8a22-415b-b78f-96c867a131a4</vt:lpwstr>
  </property>
  <property fmtid="{D5CDD505-2E9C-101B-9397-08002B2CF9AE}" pid="3" name="SEC">
    <vt:lpwstr>OFFICIAL</vt:lpwstr>
  </property>
  <property fmtid="{D5CDD505-2E9C-101B-9397-08002B2CF9AE}" pid="4" name="DLM">
    <vt:lpwstr>No DLM</vt:lpwstr>
  </property>
  <property fmtid="{D5CDD505-2E9C-101B-9397-08002B2CF9AE}" pid="5" name="ApplyMark">
    <vt:lpwstr>false</vt:lpwstr>
  </property>
</Properties>
</file>